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88" w:type="dxa"/>
        <w:tblCellSpacing w:w="0" w:type="dxa"/>
        <w:shd w:val="clear" w:color="auto" w:fill="FFFFFF"/>
        <w:tblCellMar>
          <w:left w:w="0" w:type="dxa"/>
          <w:right w:w="0" w:type="dxa"/>
        </w:tblCellMar>
        <w:tblLook w:val="04A0" w:firstRow="1" w:lastRow="0" w:firstColumn="1" w:lastColumn="0" w:noHBand="0" w:noVBand="1"/>
      </w:tblPr>
      <w:tblGrid>
        <w:gridCol w:w="2797"/>
        <w:gridCol w:w="4391"/>
      </w:tblGrid>
      <w:tr w:rsidR="00AD0F7B" w:rsidRPr="00AD0F7B" w:rsidTr="00AD0F7B">
        <w:trPr>
          <w:tblCellSpacing w:w="0" w:type="dxa"/>
        </w:trPr>
        <w:tc>
          <w:tcPr>
            <w:tcW w:w="3348" w:type="dxa"/>
            <w:shd w:val="clear" w:color="auto" w:fill="FFFFFF"/>
            <w:tcMar>
              <w:top w:w="0" w:type="dxa"/>
              <w:left w:w="108" w:type="dxa"/>
              <w:bottom w:w="0" w:type="dxa"/>
              <w:right w:w="108" w:type="dxa"/>
            </w:tcMar>
            <w:hideMark/>
          </w:tcPr>
          <w:p w:rsidR="00AD0F7B" w:rsidRPr="00AD0F7B" w:rsidRDefault="00AD0F7B" w:rsidP="00AD0F7B">
            <w:pPr>
              <w:spacing w:before="120" w:after="120" w:line="234" w:lineRule="atLeast"/>
              <w:jc w:val="center"/>
              <w:rPr>
                <w:rFonts w:ascii="Arial" w:eastAsia="Times New Roman" w:hAnsi="Arial" w:cs="Arial"/>
                <w:color w:val="000000"/>
                <w:sz w:val="18"/>
                <w:szCs w:val="18"/>
              </w:rPr>
            </w:pPr>
            <w:r w:rsidRPr="00AD0F7B">
              <w:rPr>
                <w:rFonts w:ascii="Arial" w:eastAsia="Times New Roman" w:hAnsi="Arial" w:cs="Arial"/>
                <w:b/>
                <w:bCs/>
                <w:color w:val="000000"/>
                <w:sz w:val="20"/>
                <w:szCs w:val="20"/>
              </w:rPr>
              <w:t>BỘ TÀI CHÍNH</w:t>
            </w:r>
            <w:r w:rsidRPr="00AD0F7B">
              <w:rPr>
                <w:rFonts w:ascii="Arial" w:eastAsia="Times New Roman" w:hAnsi="Arial" w:cs="Arial"/>
                <w:b/>
                <w:bCs/>
                <w:color w:val="000000"/>
                <w:sz w:val="20"/>
                <w:szCs w:val="20"/>
              </w:rPr>
              <w:br/>
              <w:t>--------</w:t>
            </w:r>
          </w:p>
        </w:tc>
        <w:tc>
          <w:tcPr>
            <w:tcW w:w="5631" w:type="dxa"/>
            <w:shd w:val="clear" w:color="auto" w:fill="FFFFFF"/>
            <w:tcMar>
              <w:top w:w="0" w:type="dxa"/>
              <w:left w:w="108" w:type="dxa"/>
              <w:bottom w:w="0" w:type="dxa"/>
              <w:right w:w="108" w:type="dxa"/>
            </w:tcMar>
            <w:hideMark/>
          </w:tcPr>
          <w:p w:rsidR="00AD0F7B" w:rsidRPr="00AD0F7B" w:rsidRDefault="00AD0F7B" w:rsidP="00AD0F7B">
            <w:pPr>
              <w:spacing w:before="120" w:after="120" w:line="234" w:lineRule="atLeast"/>
              <w:jc w:val="center"/>
              <w:rPr>
                <w:rFonts w:ascii="Arial" w:eastAsia="Times New Roman" w:hAnsi="Arial" w:cs="Arial"/>
                <w:color w:val="000000"/>
                <w:sz w:val="18"/>
                <w:szCs w:val="18"/>
              </w:rPr>
            </w:pPr>
            <w:r w:rsidRPr="00AD0F7B">
              <w:rPr>
                <w:rFonts w:ascii="Arial" w:eastAsia="Times New Roman" w:hAnsi="Arial" w:cs="Arial"/>
                <w:b/>
                <w:bCs/>
                <w:color w:val="000000"/>
                <w:sz w:val="20"/>
                <w:szCs w:val="20"/>
              </w:rPr>
              <w:t>CỘNG HÒA XÃ HỘI CHỦ NGHĨA VIỆT NAM</w:t>
            </w:r>
            <w:r w:rsidRPr="00AD0F7B">
              <w:rPr>
                <w:rFonts w:ascii="Arial" w:eastAsia="Times New Roman" w:hAnsi="Arial" w:cs="Arial"/>
                <w:b/>
                <w:bCs/>
                <w:color w:val="000000"/>
                <w:sz w:val="20"/>
                <w:szCs w:val="20"/>
              </w:rPr>
              <w:br/>
              <w:t>Độc lập - Tự do - Hạnh phúc</w:t>
            </w:r>
            <w:r w:rsidRPr="00AD0F7B">
              <w:rPr>
                <w:rFonts w:ascii="Arial" w:eastAsia="Times New Roman" w:hAnsi="Arial" w:cs="Arial"/>
                <w:b/>
                <w:bCs/>
                <w:color w:val="000000"/>
                <w:sz w:val="20"/>
                <w:szCs w:val="20"/>
              </w:rPr>
              <w:br/>
              <w:t>----------------</w:t>
            </w:r>
          </w:p>
        </w:tc>
      </w:tr>
      <w:tr w:rsidR="00AD0F7B" w:rsidRPr="00AD0F7B" w:rsidTr="00AD0F7B">
        <w:trPr>
          <w:tblCellSpacing w:w="0" w:type="dxa"/>
        </w:trPr>
        <w:tc>
          <w:tcPr>
            <w:tcW w:w="3348" w:type="dxa"/>
            <w:shd w:val="clear" w:color="auto" w:fill="FFFFFF"/>
            <w:tcMar>
              <w:top w:w="0" w:type="dxa"/>
              <w:left w:w="108" w:type="dxa"/>
              <w:bottom w:w="0" w:type="dxa"/>
              <w:right w:w="108" w:type="dxa"/>
            </w:tcMar>
            <w:hideMark/>
          </w:tcPr>
          <w:p w:rsidR="00AD0F7B" w:rsidRPr="00AD0F7B" w:rsidRDefault="00AD0F7B" w:rsidP="00AD0F7B">
            <w:pPr>
              <w:spacing w:before="120" w:after="120" w:line="234" w:lineRule="atLeast"/>
              <w:jc w:val="center"/>
              <w:rPr>
                <w:rFonts w:ascii="Arial" w:eastAsia="Times New Roman" w:hAnsi="Arial" w:cs="Arial"/>
                <w:color w:val="000000"/>
                <w:sz w:val="18"/>
                <w:szCs w:val="18"/>
              </w:rPr>
            </w:pPr>
            <w:r w:rsidRPr="00AD0F7B">
              <w:rPr>
                <w:rFonts w:ascii="Arial" w:eastAsia="Times New Roman" w:hAnsi="Arial" w:cs="Arial"/>
                <w:color w:val="000000"/>
                <w:sz w:val="20"/>
                <w:szCs w:val="20"/>
              </w:rPr>
              <w:t>Số: 225/2010/TT-BTC</w:t>
            </w:r>
          </w:p>
        </w:tc>
        <w:tc>
          <w:tcPr>
            <w:tcW w:w="5631" w:type="dxa"/>
            <w:shd w:val="clear" w:color="auto" w:fill="FFFFFF"/>
            <w:tcMar>
              <w:top w:w="0" w:type="dxa"/>
              <w:left w:w="108" w:type="dxa"/>
              <w:bottom w:w="0" w:type="dxa"/>
              <w:right w:w="108" w:type="dxa"/>
            </w:tcMar>
            <w:hideMark/>
          </w:tcPr>
          <w:p w:rsidR="00AD0F7B" w:rsidRPr="00AD0F7B" w:rsidRDefault="00AD0F7B" w:rsidP="00AD0F7B">
            <w:pPr>
              <w:spacing w:before="120" w:after="120" w:line="234" w:lineRule="atLeast"/>
              <w:jc w:val="right"/>
              <w:rPr>
                <w:rFonts w:ascii="Arial" w:eastAsia="Times New Roman" w:hAnsi="Arial" w:cs="Arial"/>
                <w:color w:val="000000"/>
                <w:sz w:val="18"/>
                <w:szCs w:val="18"/>
              </w:rPr>
            </w:pPr>
            <w:r w:rsidRPr="00AD0F7B">
              <w:rPr>
                <w:rFonts w:ascii="Arial" w:eastAsia="Times New Roman" w:hAnsi="Arial" w:cs="Arial"/>
                <w:i/>
                <w:iCs/>
                <w:color w:val="000000"/>
                <w:sz w:val="20"/>
                <w:szCs w:val="20"/>
              </w:rPr>
              <w:t>Hà Nội, ngày 31 tháng 12 năm 2010</w:t>
            </w:r>
          </w:p>
        </w:tc>
      </w:tr>
    </w:tbl>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w:t>
      </w:r>
    </w:p>
    <w:p w:rsidR="00AD0F7B" w:rsidRPr="00AD0F7B" w:rsidRDefault="00AD0F7B" w:rsidP="00AD0F7B">
      <w:pPr>
        <w:shd w:val="clear" w:color="auto" w:fill="FFFFFF"/>
        <w:spacing w:after="0" w:line="234" w:lineRule="atLeast"/>
        <w:jc w:val="center"/>
        <w:rPr>
          <w:rFonts w:ascii="Arial" w:eastAsia="Times New Roman" w:hAnsi="Arial" w:cs="Arial"/>
          <w:color w:val="000000"/>
          <w:sz w:val="18"/>
          <w:szCs w:val="18"/>
        </w:rPr>
      </w:pPr>
      <w:bookmarkStart w:id="0" w:name="loai_1"/>
      <w:r w:rsidRPr="00AD0F7B">
        <w:rPr>
          <w:rFonts w:ascii="Arial" w:eastAsia="Times New Roman" w:hAnsi="Arial" w:cs="Arial"/>
          <w:b/>
          <w:bCs/>
          <w:color w:val="000000"/>
          <w:sz w:val="18"/>
          <w:szCs w:val="18"/>
        </w:rPr>
        <w:t>THÔNG TƯ</w:t>
      </w:r>
      <w:bookmarkEnd w:id="0"/>
    </w:p>
    <w:p w:rsidR="00AD0F7B" w:rsidRPr="00AD0F7B" w:rsidRDefault="00AD0F7B" w:rsidP="00AD0F7B">
      <w:pPr>
        <w:shd w:val="clear" w:color="auto" w:fill="FFFFFF"/>
        <w:spacing w:after="0" w:line="234" w:lineRule="atLeast"/>
        <w:jc w:val="center"/>
        <w:rPr>
          <w:rFonts w:ascii="Arial" w:eastAsia="Times New Roman" w:hAnsi="Arial" w:cs="Arial"/>
          <w:color w:val="000000"/>
          <w:sz w:val="18"/>
          <w:szCs w:val="18"/>
        </w:rPr>
      </w:pPr>
      <w:bookmarkStart w:id="1" w:name="loai_1_name"/>
      <w:r w:rsidRPr="00AD0F7B">
        <w:rPr>
          <w:rFonts w:ascii="Arial" w:eastAsia="Times New Roman" w:hAnsi="Arial" w:cs="Arial"/>
          <w:color w:val="000000"/>
          <w:sz w:val="20"/>
          <w:szCs w:val="20"/>
        </w:rPr>
        <w:t>QUY ĐỊNH CHẾ ĐỘ QUẢN LÝ TÀI CHÍNH NHÀ NƯỚC ĐỐI VỚI VIỆN TRỢ KHÔNG HOÀN LẠI CỦA NƯỚC NGOÀI THUỘC NGUỒN THU NGÂN SÁCH NHÀ NƯỚC</w:t>
      </w:r>
      <w:bookmarkEnd w:id="1"/>
    </w:p>
    <w:p w:rsidR="00AD0F7B" w:rsidRPr="00AD0F7B" w:rsidRDefault="00AD0F7B" w:rsidP="00AD0F7B">
      <w:pPr>
        <w:shd w:val="clear" w:color="auto" w:fill="FFFFFF"/>
        <w:spacing w:after="0" w:line="234" w:lineRule="atLeast"/>
        <w:rPr>
          <w:rFonts w:ascii="Arial" w:eastAsia="Times New Roman" w:hAnsi="Arial" w:cs="Arial"/>
          <w:color w:val="000000"/>
          <w:sz w:val="18"/>
          <w:szCs w:val="18"/>
        </w:rPr>
      </w:pPr>
      <w:r w:rsidRPr="00AD0F7B">
        <w:rPr>
          <w:rFonts w:ascii="Arial" w:eastAsia="Times New Roman" w:hAnsi="Arial" w:cs="Arial"/>
          <w:i/>
          <w:iCs/>
          <w:color w:val="000000"/>
          <w:sz w:val="20"/>
          <w:szCs w:val="20"/>
        </w:rPr>
        <w:t>Căn cứ Nghị định số </w:t>
      </w:r>
      <w:hyperlink r:id="rId5" w:tgtFrame="_blank" w:tooltip="Nghị định 60/2003/NĐ-CP" w:history="1">
        <w:r w:rsidRPr="00AD0F7B">
          <w:rPr>
            <w:rFonts w:ascii="Arial" w:eastAsia="Times New Roman" w:hAnsi="Arial" w:cs="Arial"/>
            <w:i/>
            <w:iCs/>
            <w:color w:val="0E70C3"/>
            <w:sz w:val="20"/>
            <w:szCs w:val="20"/>
          </w:rPr>
          <w:t>60/2003/NĐ-CP</w:t>
        </w:r>
      </w:hyperlink>
      <w:r w:rsidRPr="00AD0F7B">
        <w:rPr>
          <w:rFonts w:ascii="Arial" w:eastAsia="Times New Roman" w:hAnsi="Arial" w:cs="Arial"/>
          <w:i/>
          <w:iCs/>
          <w:color w:val="000000"/>
          <w:sz w:val="20"/>
          <w:szCs w:val="20"/>
        </w:rPr>
        <w:t> ngày 6/6/2003 của Chính phủ ban hành Quy định chi tiết và hướng dẫn thi hành Luật Ngân sách nhà nước;</w:t>
      </w:r>
      <w:r w:rsidRPr="00AD0F7B">
        <w:rPr>
          <w:rFonts w:ascii="Arial" w:eastAsia="Times New Roman" w:hAnsi="Arial" w:cs="Arial"/>
          <w:i/>
          <w:iCs/>
          <w:color w:val="000000"/>
          <w:sz w:val="20"/>
          <w:szCs w:val="20"/>
        </w:rPr>
        <w:br/>
        <w:t>Căn cứ Nghị định số </w:t>
      </w:r>
      <w:hyperlink r:id="rId6" w:tgtFrame="_blank" w:tooltip="Nghị định 131/2006/NĐ-CP" w:history="1">
        <w:r w:rsidRPr="00AD0F7B">
          <w:rPr>
            <w:rFonts w:ascii="Arial" w:eastAsia="Times New Roman" w:hAnsi="Arial" w:cs="Arial"/>
            <w:i/>
            <w:iCs/>
            <w:color w:val="0E70C3"/>
            <w:sz w:val="20"/>
            <w:szCs w:val="20"/>
          </w:rPr>
          <w:t>131/2006/NĐ-CP</w:t>
        </w:r>
      </w:hyperlink>
      <w:r w:rsidRPr="00AD0F7B">
        <w:rPr>
          <w:rFonts w:ascii="Arial" w:eastAsia="Times New Roman" w:hAnsi="Arial" w:cs="Arial"/>
          <w:i/>
          <w:iCs/>
          <w:color w:val="000000"/>
          <w:sz w:val="20"/>
          <w:szCs w:val="20"/>
        </w:rPr>
        <w:t> ngày 9/11/2006 của Chính phủ ban hành Quy chế quản lý và sử dụng nguồn hỗ trợ phát triển chính thức (ODA);</w:t>
      </w:r>
      <w:r w:rsidRPr="00AD0F7B">
        <w:rPr>
          <w:rFonts w:ascii="Arial" w:eastAsia="Times New Roman" w:hAnsi="Arial" w:cs="Arial"/>
          <w:i/>
          <w:iCs/>
          <w:color w:val="000000"/>
          <w:sz w:val="20"/>
          <w:szCs w:val="20"/>
        </w:rPr>
        <w:br/>
        <w:t>Căn cứ Nghị định số </w:t>
      </w:r>
      <w:hyperlink r:id="rId7" w:tgtFrame="_blank" w:tooltip="Nghị định 93/2009/NĐ-CP" w:history="1">
        <w:r w:rsidRPr="00AD0F7B">
          <w:rPr>
            <w:rFonts w:ascii="Arial" w:eastAsia="Times New Roman" w:hAnsi="Arial" w:cs="Arial"/>
            <w:i/>
            <w:iCs/>
            <w:color w:val="0E70C3"/>
            <w:sz w:val="20"/>
            <w:szCs w:val="20"/>
          </w:rPr>
          <w:t>93/2009/NĐ-CP</w:t>
        </w:r>
      </w:hyperlink>
      <w:r w:rsidRPr="00AD0F7B">
        <w:rPr>
          <w:rFonts w:ascii="Arial" w:eastAsia="Times New Roman" w:hAnsi="Arial" w:cs="Arial"/>
          <w:i/>
          <w:iCs/>
          <w:color w:val="000000"/>
          <w:sz w:val="20"/>
          <w:szCs w:val="20"/>
        </w:rPr>
        <w:t> ngày 22/10/2009 của Chính phủ ban hành Quy chế quản lý và sử dụng viện trợ phi chính phủ nước ngoài;</w:t>
      </w:r>
      <w:r w:rsidRPr="00AD0F7B">
        <w:rPr>
          <w:rFonts w:ascii="Arial" w:eastAsia="Times New Roman" w:hAnsi="Arial" w:cs="Arial"/>
          <w:i/>
          <w:iCs/>
          <w:color w:val="000000"/>
          <w:sz w:val="20"/>
          <w:szCs w:val="20"/>
        </w:rPr>
        <w:br/>
        <w:t>Căn cứ Nghị định số </w:t>
      </w:r>
      <w:hyperlink r:id="rId8" w:tgtFrame="_blank" w:tooltip="Nghị định 118/2008/NĐ-CP" w:history="1">
        <w:r w:rsidRPr="00AD0F7B">
          <w:rPr>
            <w:rFonts w:ascii="Arial" w:eastAsia="Times New Roman" w:hAnsi="Arial" w:cs="Arial"/>
            <w:i/>
            <w:iCs/>
            <w:color w:val="0E70C3"/>
            <w:sz w:val="20"/>
            <w:szCs w:val="20"/>
          </w:rPr>
          <w:t>118/2008/NĐ-CP</w:t>
        </w:r>
      </w:hyperlink>
      <w:r w:rsidRPr="00AD0F7B">
        <w:rPr>
          <w:rFonts w:ascii="Arial" w:eastAsia="Times New Roman" w:hAnsi="Arial" w:cs="Arial"/>
          <w:i/>
          <w:iCs/>
          <w:color w:val="000000"/>
          <w:sz w:val="20"/>
          <w:szCs w:val="20"/>
        </w:rPr>
        <w:t> ngày 27/11/2008 của Chính phủ quy định chức năng, nhiệm vụ, quyền hạn và cơ cấu tổ chức của Bộ Tài chính;</w:t>
      </w:r>
      <w:r w:rsidRPr="00AD0F7B">
        <w:rPr>
          <w:rFonts w:ascii="Arial" w:eastAsia="Times New Roman" w:hAnsi="Arial" w:cs="Arial"/>
          <w:i/>
          <w:iCs/>
          <w:color w:val="000000"/>
          <w:sz w:val="20"/>
          <w:szCs w:val="20"/>
        </w:rPr>
        <w:br/>
        <w:t>Bộ Tài chính hướng dẫn chế độ quản lý tài chính nhà nước đối với viện trợ không hoàn lại của nước ngoài thuộc nguồn thu ngân sách nhà nước như sau:</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 w:name="chuong_1"/>
      <w:r w:rsidRPr="00AD0F7B">
        <w:rPr>
          <w:rFonts w:ascii="Arial" w:eastAsia="Times New Roman" w:hAnsi="Arial" w:cs="Arial"/>
          <w:b/>
          <w:bCs/>
          <w:color w:val="000000"/>
          <w:sz w:val="20"/>
          <w:szCs w:val="20"/>
        </w:rPr>
        <w:t>Phần I</w:t>
      </w:r>
      <w:bookmarkEnd w:id="2"/>
    </w:p>
    <w:p w:rsidR="00AD0F7B" w:rsidRPr="00AD0F7B" w:rsidRDefault="00AD0F7B" w:rsidP="00AD0F7B">
      <w:pPr>
        <w:shd w:val="clear" w:color="auto" w:fill="FFFFFF"/>
        <w:spacing w:after="0" w:line="234" w:lineRule="atLeast"/>
        <w:jc w:val="center"/>
        <w:rPr>
          <w:rFonts w:ascii="Arial" w:eastAsia="Times New Roman" w:hAnsi="Arial" w:cs="Arial"/>
          <w:color w:val="000000"/>
          <w:sz w:val="18"/>
          <w:szCs w:val="18"/>
        </w:rPr>
      </w:pPr>
      <w:bookmarkStart w:id="3" w:name="chuong_1_name"/>
      <w:r w:rsidRPr="00AD0F7B">
        <w:rPr>
          <w:rFonts w:ascii="Arial" w:eastAsia="Times New Roman" w:hAnsi="Arial" w:cs="Arial"/>
          <w:b/>
          <w:bCs/>
          <w:color w:val="000000"/>
          <w:sz w:val="18"/>
          <w:szCs w:val="18"/>
        </w:rPr>
        <w:t>QUY ĐỊNH CHUNG</w:t>
      </w:r>
      <w:bookmarkEnd w:id="3"/>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4" w:name="dieu_1"/>
      <w:proofErr w:type="gramStart"/>
      <w:r w:rsidRPr="00AD0F7B">
        <w:rPr>
          <w:rFonts w:ascii="Arial" w:eastAsia="Times New Roman" w:hAnsi="Arial" w:cs="Arial"/>
          <w:b/>
          <w:bCs/>
          <w:color w:val="000000"/>
          <w:sz w:val="20"/>
          <w:szCs w:val="20"/>
        </w:rPr>
        <w:t>Điều 1.</w:t>
      </w:r>
      <w:proofErr w:type="gramEnd"/>
      <w:r w:rsidRPr="00AD0F7B">
        <w:rPr>
          <w:rFonts w:ascii="Arial" w:eastAsia="Times New Roman" w:hAnsi="Arial" w:cs="Arial"/>
          <w:b/>
          <w:bCs/>
          <w:color w:val="000000"/>
          <w:sz w:val="20"/>
          <w:szCs w:val="20"/>
        </w:rPr>
        <w:t xml:space="preserve"> Phạm </w:t>
      </w:r>
      <w:proofErr w:type="gramStart"/>
      <w:r w:rsidRPr="00AD0F7B">
        <w:rPr>
          <w:rFonts w:ascii="Arial" w:eastAsia="Times New Roman" w:hAnsi="Arial" w:cs="Arial"/>
          <w:b/>
          <w:bCs/>
          <w:color w:val="000000"/>
          <w:sz w:val="20"/>
          <w:szCs w:val="20"/>
        </w:rPr>
        <w:t>vi</w:t>
      </w:r>
      <w:proofErr w:type="gramEnd"/>
      <w:r w:rsidRPr="00AD0F7B">
        <w:rPr>
          <w:rFonts w:ascii="Arial" w:eastAsia="Times New Roman" w:hAnsi="Arial" w:cs="Arial"/>
          <w:b/>
          <w:bCs/>
          <w:color w:val="000000"/>
          <w:sz w:val="20"/>
          <w:szCs w:val="20"/>
        </w:rPr>
        <w:t xml:space="preserve"> điều chỉnh</w:t>
      </w:r>
      <w:bookmarkEnd w:id="4"/>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Thông tư này hướng dẫn chế độ quản lý tài chính đối với nguồn viện trợ không hoàn lại của nước ngoài cho Việt Nam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nhà nước.</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Viện trợ không hoàn lại của nước ngoài (sau đây gọi tắt là viện trợ) quy định tại Thông tư này là sự trợ giúp không phải hoàn trả dưới hình thức bằng tiền, bằng hiện vật của Bên tài trợ nước ngoài, nhằm hỗ trợ thực hiện các mục tiêu phát triển, nhân đạo hoặc tài trợ cho hoạt động khoa học và công nghệ, được cấp có thẩm quyền của Việt Nam phê duyệt theo quy định tại Nghị định số </w:t>
      </w:r>
      <w:hyperlink r:id="rId9" w:tgtFrame="_blank" w:tooltip="Nghị định 131/2006/NĐ-CP" w:history="1">
        <w:r w:rsidRPr="00AD0F7B">
          <w:rPr>
            <w:rFonts w:ascii="Arial" w:eastAsia="Times New Roman" w:hAnsi="Arial" w:cs="Arial"/>
            <w:color w:val="0E70C3"/>
            <w:sz w:val="20"/>
            <w:szCs w:val="20"/>
          </w:rPr>
          <w:t>131/2006/NĐ-CP</w:t>
        </w:r>
      </w:hyperlink>
      <w:r w:rsidRPr="00AD0F7B">
        <w:rPr>
          <w:rFonts w:ascii="Arial" w:eastAsia="Times New Roman" w:hAnsi="Arial" w:cs="Arial"/>
          <w:color w:val="000000"/>
          <w:sz w:val="20"/>
          <w:szCs w:val="20"/>
        </w:rPr>
        <w:t> ngày 9/11/2006 của Chính phủ ban hành Quy chế quản lý và sử dụng nguồn hỗ trợ phát triển chính thức (ODA) và Nghị định số </w:t>
      </w:r>
      <w:hyperlink r:id="rId10" w:tgtFrame="_blank" w:tooltip="Nghị định 93/2009/NĐ-CP" w:history="1">
        <w:r w:rsidRPr="00AD0F7B">
          <w:rPr>
            <w:rFonts w:ascii="Arial" w:eastAsia="Times New Roman" w:hAnsi="Arial" w:cs="Arial"/>
            <w:color w:val="0E70C3"/>
            <w:sz w:val="20"/>
            <w:szCs w:val="20"/>
          </w:rPr>
          <w:t>93/2009/NĐ-CP</w:t>
        </w:r>
      </w:hyperlink>
      <w:r w:rsidRPr="00AD0F7B">
        <w:rPr>
          <w:rFonts w:ascii="Arial" w:eastAsia="Times New Roman" w:hAnsi="Arial" w:cs="Arial"/>
          <w:color w:val="000000"/>
          <w:sz w:val="20"/>
          <w:szCs w:val="20"/>
        </w:rPr>
        <w:t> ngày 22/10/2009 của Chính phủ ban hành Quy chế quản lý và sử dụng viện trợ phi chính phủ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Các hàng hoá là quà biếu, quà tặng do các tổ chức, cá nhân từ nước ngoài tặng cho các tổ chức, cá nhân tại Việt Nam, được điều chỉnh theo quy định của pháp luật về quà biếu, quà tặng hiện hành, không thuộc phạm vi điều chỉnh của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Bên tài trợ nước ngoài trong Thông tư này bao gồm: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Các chính phủ nước ngoài, các tổ chức tài trợ song phương và đa phương, các tổ chức liên quốc gia hoặc liên chính phủ cung cấp các khoản viện trợ không hoàn lại cho Nhà nước hoặc Chính phủ nước Cộng hoà Xã hội chủ nghĩa Việt Nam trong khuôn khổ các hoạt động hợp tác hỗ trợ phát triển chính thức (ODA) giữa Việt Nam với Bên tài trợ nước ngoài (sau đây viết tắt là ODA không hoàn lại).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Các tổ chức phi chính phủ nước ngoài, các tổ chức và cá nhân người nước ngoài khác, kể cả các tập đoàn, công ty có vốn nước ngoài, cộng đồng người Việt Nam ở nước ngoài, tôn trọng và chấp hành luật pháp Việt Nam, có thiện chí cung cấp viện trợ không hoàn lại nhằm hỗ trợ cho các mục tiêu phát triển kinh tế - xã hội và nhân đạo của Việt Nam (viện trợ phi chính phủ nước ngoài, sau đây viết tắt là viện trợ PCPNN).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3. Các đối tượng tiếp nhận viện trợ nước ngoài trong Thông tư này bao gồm: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Các tổ chức thuộc bộ máy nhà nước Việt Nam, bao gồm các cơ quan của Đảng, Quốc hội, Toà án nhân dân tối cao, Viện Kiểm sát nhân dân tối cao; các Bộ, cơ quan ngang Bộ, cơ quan trực thuộc Chính phủ (sau đây gọi chung là các Bộ); Uỷ ban nhân dân các tỉnh, thành phố trực thuộc Trung ương (sau đây gọi chung là UBND cấp tỉnh); Mặt trận Tổ quốc Việt Nam, Tổng Liên đoàn Lao động Việt Nam, Đoàn </w:t>
      </w:r>
      <w:r w:rsidRPr="00AD0F7B">
        <w:rPr>
          <w:rFonts w:ascii="Arial" w:eastAsia="Times New Roman" w:hAnsi="Arial" w:cs="Arial"/>
          <w:color w:val="000000"/>
          <w:sz w:val="20"/>
          <w:szCs w:val="20"/>
        </w:rPr>
        <w:lastRenderedPageBreak/>
        <w:t>thanh niên Cộng sản Hồ Chí Minh, Hội Nông dân Việt Nam, Hội Cựu chiến binh Việt Nam, Hội Liên hiệp Phụ nữ Việt Nam.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Các doanh nghiệp nhà nước Việt Nam.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Các hội có tính chất đặc thù được Nhà nước giao biên chế, hỗ trợ về kinh phí và điều kiện hoạt động,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tại Quyết định số 68/2010/QĐ-TTg ngày 01/10/2010 của Thủ tướng Chính phủ về việc quy định hội có tính chất đặc thù.</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4. Các hội khác (ngoài các hội có tính chất đặc thù nêu tại điểm c khoản 3 trên) do các tổ chức xã hội, tổ chức xã hội - nghề nghiệp, tổ chức kinh tế, cá nhân, nhóm cá nhân hoặc cộng đồng dân cư thành lập, tự đảm bảo kinh phí hoạt động bằng vốn ngoài ngân sách nhà nước, là các đối tượng tiếp nhận viện trợ nước ngoài quy định tại Thông tư số </w:t>
      </w:r>
      <w:hyperlink r:id="rId11" w:tgtFrame="_blank" w:tooltip="Thông tư 109/2007/TT-BTC" w:history="1">
        <w:r w:rsidRPr="00AD0F7B">
          <w:rPr>
            <w:rFonts w:ascii="Arial" w:eastAsia="Times New Roman" w:hAnsi="Arial" w:cs="Arial"/>
            <w:color w:val="0E70C3"/>
            <w:sz w:val="20"/>
            <w:szCs w:val="20"/>
          </w:rPr>
          <w:t>109/2007/TT-BTC</w:t>
        </w:r>
      </w:hyperlink>
      <w:r w:rsidRPr="00AD0F7B">
        <w:rPr>
          <w:rFonts w:ascii="Arial" w:eastAsia="Times New Roman" w:hAnsi="Arial" w:cs="Arial"/>
          <w:color w:val="000000"/>
          <w:sz w:val="20"/>
          <w:szCs w:val="20"/>
        </w:rPr>
        <w:t> ngày 10/9/2007 của Bộ Tài chính hướng dẫn chế độ quản lý tài chính nhà nước đối với viện trợ phi chính phủ nước ngoài không thuộc nguồn thu NSNN.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5. Viện trợ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 bao gồm: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ODA không hoàn lại;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Viện trợ PCPNN cho các tổ chức thuộc bộ máy nhà nước Việt Nam (không kể viện trợ PCPNN cho UBND cấp tỉnh và các cơ quan, đơn vị thuộc và trực thuộc UBND cấp tỉnh);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Viện trợ PCPNN cho các doanh nghiệp nhà nước do Trung ương quản lý.</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d) Viện trợ PCPNN cho các Hội có tính chất đặc thù hoạt động trong phạm </w:t>
      </w:r>
      <w:proofErr w:type="gramStart"/>
      <w:r w:rsidRPr="00AD0F7B">
        <w:rPr>
          <w:rFonts w:ascii="Arial" w:eastAsia="Times New Roman" w:hAnsi="Arial" w:cs="Arial"/>
          <w:color w:val="000000"/>
          <w:sz w:val="20"/>
          <w:szCs w:val="20"/>
        </w:rPr>
        <w:t>vi</w:t>
      </w:r>
      <w:proofErr w:type="gramEnd"/>
      <w:r w:rsidRPr="00AD0F7B">
        <w:rPr>
          <w:rFonts w:ascii="Arial" w:eastAsia="Times New Roman" w:hAnsi="Arial" w:cs="Arial"/>
          <w:color w:val="000000"/>
          <w:sz w:val="20"/>
          <w:szCs w:val="20"/>
        </w:rPr>
        <w:t xml:space="preserve"> cả nước, được xác định tại Phụ lục ban hành kèm theo Quyết định số 68/2010/QĐ-TTg ngày 01/10/2010 của Thủ tướng Chính phủ.</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6.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Viện trợ PCPNN trực tiếp cho UBND cấp tỉnh và các cơ quan, đơn vị thuộc và trực thuộc UBND cấp tỉnh;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Viện trợ PCPNN cho các doanh nghiệp nhà nước do địa phương quản lý.</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Viện trợ PCPNN cho các Hội có tính chất đặc thù hoạt động trong phạm vi địa phương do Chủ tịch UBND tỉnh xác định, căn cứ vào Quyết định số 68/2010/QĐ-TTg ngày 01/10/2010 của Thủ tướng Chính phủ.</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5" w:name="dieu_2"/>
      <w:proofErr w:type="gramStart"/>
      <w:r w:rsidRPr="00AD0F7B">
        <w:rPr>
          <w:rFonts w:ascii="Arial" w:eastAsia="Times New Roman" w:hAnsi="Arial" w:cs="Arial"/>
          <w:b/>
          <w:bCs/>
          <w:color w:val="000000"/>
          <w:sz w:val="20"/>
          <w:szCs w:val="20"/>
        </w:rPr>
        <w:t>Điều 2.</w:t>
      </w:r>
      <w:proofErr w:type="gramEnd"/>
      <w:r w:rsidRPr="00AD0F7B">
        <w:rPr>
          <w:rFonts w:ascii="Arial" w:eastAsia="Times New Roman" w:hAnsi="Arial" w:cs="Arial"/>
          <w:b/>
          <w:bCs/>
          <w:color w:val="000000"/>
          <w:sz w:val="20"/>
          <w:szCs w:val="20"/>
        </w:rPr>
        <w:t xml:space="preserve"> Đối tượng áp dụng Thông tư</w:t>
      </w:r>
      <w:bookmarkEnd w:id="5"/>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Các cơ quan nhà nước được giao trách nhiệm quản lý nhà nước đối với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2. Các cơ quan chủ quản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3. Các chủ chương trình, chủ dự án, đơn vị sử dụng viện trợ nước ngoài.</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6" w:name="dieu_3"/>
      <w:proofErr w:type="gramStart"/>
      <w:r w:rsidRPr="00AD0F7B">
        <w:rPr>
          <w:rFonts w:ascii="Arial" w:eastAsia="Times New Roman" w:hAnsi="Arial" w:cs="Arial"/>
          <w:b/>
          <w:bCs/>
          <w:color w:val="000000"/>
          <w:sz w:val="20"/>
          <w:szCs w:val="20"/>
        </w:rPr>
        <w:t>Điều 3.</w:t>
      </w:r>
      <w:proofErr w:type="gramEnd"/>
      <w:r w:rsidRPr="00AD0F7B">
        <w:rPr>
          <w:rFonts w:ascii="Arial" w:eastAsia="Times New Roman" w:hAnsi="Arial" w:cs="Arial"/>
          <w:b/>
          <w:bCs/>
          <w:color w:val="000000"/>
          <w:sz w:val="20"/>
          <w:szCs w:val="20"/>
        </w:rPr>
        <w:t xml:space="preserve"> Nguyên tắc quản lý tài chính nhà nước đối với viện trợ nước ngoài thuộc nguồn </w:t>
      </w:r>
      <w:proofErr w:type="gramStart"/>
      <w:r w:rsidRPr="00AD0F7B">
        <w:rPr>
          <w:rFonts w:ascii="Arial" w:eastAsia="Times New Roman" w:hAnsi="Arial" w:cs="Arial"/>
          <w:b/>
          <w:bCs/>
          <w:color w:val="000000"/>
          <w:sz w:val="20"/>
          <w:szCs w:val="20"/>
        </w:rPr>
        <w:t>thu</w:t>
      </w:r>
      <w:proofErr w:type="gramEnd"/>
      <w:r w:rsidRPr="00AD0F7B">
        <w:rPr>
          <w:rFonts w:ascii="Arial" w:eastAsia="Times New Roman" w:hAnsi="Arial" w:cs="Arial"/>
          <w:b/>
          <w:bCs/>
          <w:color w:val="000000"/>
          <w:sz w:val="20"/>
          <w:szCs w:val="20"/>
        </w:rPr>
        <w:t xml:space="preserve"> NSNN</w:t>
      </w:r>
      <w:bookmarkEnd w:id="6"/>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Viện trợ nước ngoài cho các đối tượng tiếp nhận viện trợ nêu tại Thông tư này thuộc nguồn thu của ngân sách nhà nước, phải được hạch toán đầy đủ, kịp thời vào NSNN theo quy định của Luật Ngân sách nhà nước, theo phân cấp quản lý ngân sách như sau:</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Bộ Tài chính thực hiện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chi ngân sách trung ương đối với các khoản viện trợ thuộc nguồn thu ngân sách trung ương (bao gồm cả nguồn thu ngân sách trung ương ghi chi bổ sung có mục tiêu cho ngân sách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Sở Tài chính thực hiện thu, chi ngân sách địa phương đối với các khoản viện trợ thuộc nguồn thu của ngân sách địa phương và phối hợp với Bộ Tài chính thực hiện ghi thu ghi chi ngân sách địa phương đối với các khoản viện trợ thuộc nguồn thu ngân sách trung ương ghi chi bổ sung có mục tiêu cho ngân sách địa phương.</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Các khoản viện trợ nước ngoài thuộc phạm vi áp dụng Thông tư này chỉ được tiếp nhận và sử dụng, sau khi được cấp có thẩm quyền (quy định tại Nghị định số </w:t>
      </w:r>
      <w:hyperlink r:id="rId12" w:tgtFrame="_blank" w:tooltip="Nghị định 131/2006/NĐ-CP" w:history="1">
        <w:r w:rsidRPr="00AD0F7B">
          <w:rPr>
            <w:rFonts w:ascii="Arial" w:eastAsia="Times New Roman" w:hAnsi="Arial" w:cs="Arial"/>
            <w:color w:val="0E70C3"/>
            <w:sz w:val="20"/>
            <w:szCs w:val="20"/>
          </w:rPr>
          <w:t>131/2006/NĐ-CP</w:t>
        </w:r>
      </w:hyperlink>
      <w:r w:rsidRPr="00AD0F7B">
        <w:rPr>
          <w:rFonts w:ascii="Arial" w:eastAsia="Times New Roman" w:hAnsi="Arial" w:cs="Arial"/>
          <w:color w:val="000000"/>
          <w:sz w:val="20"/>
          <w:szCs w:val="20"/>
        </w:rPr>
        <w:t> ngày 09/11/2006 và Nghị định số </w:t>
      </w:r>
      <w:hyperlink r:id="rId13" w:tgtFrame="_blank" w:tooltip="Nghị định 93/2009/NĐ-CP" w:history="1">
        <w:r w:rsidRPr="00AD0F7B">
          <w:rPr>
            <w:rFonts w:ascii="Arial" w:eastAsia="Times New Roman" w:hAnsi="Arial" w:cs="Arial"/>
            <w:color w:val="0E70C3"/>
            <w:sz w:val="20"/>
            <w:szCs w:val="20"/>
          </w:rPr>
          <w:t>93/2009/NĐ-CP</w:t>
        </w:r>
      </w:hyperlink>
      <w:r w:rsidRPr="00AD0F7B">
        <w:rPr>
          <w:rFonts w:ascii="Arial" w:eastAsia="Times New Roman" w:hAnsi="Arial" w:cs="Arial"/>
          <w:color w:val="000000"/>
          <w:sz w:val="20"/>
          <w:szCs w:val="20"/>
        </w:rPr>
        <w:t> ngày 22/10/2009 của Chính phủ) phê duyệt.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 xml:space="preserve">3. Các đối tượng tiếp nhận viện trợ nước ngoài chịu trách nhiệm quản lý và sử dụng vốn viện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đúng các quy định của pháp luật Việt Nam và các thoả thuận, cam kết với Bên tài trợ. </w:t>
      </w:r>
      <w:proofErr w:type="gramStart"/>
      <w:r w:rsidRPr="00AD0F7B">
        <w:rPr>
          <w:rFonts w:ascii="Arial" w:eastAsia="Times New Roman" w:hAnsi="Arial" w:cs="Arial"/>
          <w:color w:val="000000"/>
          <w:sz w:val="20"/>
          <w:szCs w:val="20"/>
        </w:rPr>
        <w:t>Trong trường hợp các quy định hoặc điều kiện viện trợ của Bên tài trợ khác với quy định của pháp luật Việt Nam thì phải tuân thủ quy định của pháp luật Việt Nam.</w:t>
      </w:r>
      <w:proofErr w:type="gramEnd"/>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7" w:name="dieu_4"/>
      <w:proofErr w:type="gramStart"/>
      <w:r w:rsidRPr="00AD0F7B">
        <w:rPr>
          <w:rFonts w:ascii="Arial" w:eastAsia="Times New Roman" w:hAnsi="Arial" w:cs="Arial"/>
          <w:b/>
          <w:bCs/>
          <w:color w:val="000000"/>
          <w:sz w:val="20"/>
          <w:szCs w:val="20"/>
        </w:rPr>
        <w:t>Điều 4.</w:t>
      </w:r>
      <w:proofErr w:type="gramEnd"/>
      <w:r w:rsidRPr="00AD0F7B">
        <w:rPr>
          <w:rFonts w:ascii="Arial" w:eastAsia="Times New Roman" w:hAnsi="Arial" w:cs="Arial"/>
          <w:b/>
          <w:bCs/>
          <w:color w:val="000000"/>
          <w:sz w:val="20"/>
          <w:szCs w:val="20"/>
        </w:rPr>
        <w:t xml:space="preserve"> Phương thức cung cấp viện trợ</w:t>
      </w:r>
      <w:bookmarkEnd w:id="7"/>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Viện trợ bằng hiện vật hoặc bằng tiền: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Viện trợ bằng hiện vật hoặc bằng tiền có thể được cung cấp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chương trình, dự án (bao gồm cả các công trình xây dựng cơ bản) hoặc viện trợ phi dự án (viện trợ lẻ, cứu trợ khẩn cấp khắc phục hậu quả thiên tai, dịch bệnh, chiến tranh).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Viện trợ phi vật chất: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Viện trợ nước ngoài phi vật chất là việc Bên tài trợ chuyển giao không thu tiền đối với các tài sản thuộc sở hữu trí tuệ (quyền tác giả, quyền sở hữu tác phẩm, quyền sở hữu công nghiệp, chuyển giao công nghệ); hoặc Bên tài trợ thanh toán trực tiếp các chi phí đào tạo, tham quan, khảo sát, hội thảo, chuyên gia tại nước ngoài.</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8" w:name="dieu_5"/>
      <w:proofErr w:type="gramStart"/>
      <w:r w:rsidRPr="00AD0F7B">
        <w:rPr>
          <w:rFonts w:ascii="Arial" w:eastAsia="Times New Roman" w:hAnsi="Arial" w:cs="Arial"/>
          <w:b/>
          <w:bCs/>
          <w:color w:val="000000"/>
          <w:sz w:val="20"/>
          <w:szCs w:val="20"/>
        </w:rPr>
        <w:t>Điều 5.</w:t>
      </w:r>
      <w:proofErr w:type="gramEnd"/>
      <w:r w:rsidRPr="00AD0F7B">
        <w:rPr>
          <w:rFonts w:ascii="Arial" w:eastAsia="Times New Roman" w:hAnsi="Arial" w:cs="Arial"/>
          <w:b/>
          <w:bCs/>
          <w:color w:val="000000"/>
          <w:sz w:val="20"/>
          <w:szCs w:val="20"/>
        </w:rPr>
        <w:t xml:space="preserve"> Giải thích từ ngữ</w:t>
      </w:r>
      <w:bookmarkEnd w:id="8"/>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Trong phạm </w:t>
      </w:r>
      <w:proofErr w:type="gramStart"/>
      <w:r w:rsidRPr="00AD0F7B">
        <w:rPr>
          <w:rFonts w:ascii="Arial" w:eastAsia="Times New Roman" w:hAnsi="Arial" w:cs="Arial"/>
          <w:color w:val="000000"/>
          <w:sz w:val="20"/>
          <w:szCs w:val="20"/>
        </w:rPr>
        <w:t>vi</w:t>
      </w:r>
      <w:proofErr w:type="gramEnd"/>
      <w:r w:rsidRPr="00AD0F7B">
        <w:rPr>
          <w:rFonts w:ascii="Arial" w:eastAsia="Times New Roman" w:hAnsi="Arial" w:cs="Arial"/>
          <w:color w:val="000000"/>
          <w:sz w:val="20"/>
          <w:szCs w:val="20"/>
        </w:rPr>
        <w:t xml:space="preserve"> Thông tư này, các từ ngữ dưới đây được hiểu như sau:</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w:t>
      </w:r>
      <w:r w:rsidRPr="00AD0F7B">
        <w:rPr>
          <w:rFonts w:ascii="Arial" w:eastAsia="Times New Roman" w:hAnsi="Arial" w:cs="Arial"/>
          <w:i/>
          <w:iCs/>
          <w:color w:val="000000"/>
          <w:sz w:val="20"/>
          <w:szCs w:val="20"/>
        </w:rPr>
        <w:t>Cơ quan chủ quản</w:t>
      </w:r>
      <w:r w:rsidRPr="00AD0F7B">
        <w:rPr>
          <w:rFonts w:ascii="Arial" w:eastAsia="Times New Roman" w:hAnsi="Arial" w:cs="Arial"/>
          <w:color w:val="000000"/>
          <w:sz w:val="20"/>
          <w:szCs w:val="20"/>
        </w:rPr>
        <w:t>” là các Bộ, UBND cấp tỉnh, cơ quan Trung ương của các Hội và các cấp chính quyền chịu trách nhiệm quản lý trực tiếp các doanh nghiệp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w:t>
      </w:r>
      <w:r w:rsidRPr="00AD0F7B">
        <w:rPr>
          <w:rFonts w:ascii="Arial" w:eastAsia="Times New Roman" w:hAnsi="Arial" w:cs="Arial"/>
          <w:i/>
          <w:iCs/>
          <w:color w:val="000000"/>
          <w:sz w:val="20"/>
          <w:szCs w:val="20"/>
        </w:rPr>
        <w:t>Chủ dự án/Đơn vị sử dụng viện trợ</w:t>
      </w:r>
      <w:r w:rsidRPr="00AD0F7B">
        <w:rPr>
          <w:rFonts w:ascii="Arial" w:eastAsia="Times New Roman" w:hAnsi="Arial" w:cs="Arial"/>
          <w:color w:val="000000"/>
          <w:sz w:val="20"/>
          <w:szCs w:val="20"/>
        </w:rPr>
        <w:t> (sau đây gọi chung là Chủ dự án)” là các tổ chức được Cơ quan chủ quản giao trách nhiệm quản lý và sử dụng vốn viện trợ và vốn đối ứng để thực hiện chương trình, dự án hoặc tiếp nhận các khoản viện trợ phi dự án đã được cấp có thẩm quyền phê duyệt.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3. “</w:t>
      </w:r>
      <w:r w:rsidRPr="00AD0F7B">
        <w:rPr>
          <w:rFonts w:ascii="Arial" w:eastAsia="Times New Roman" w:hAnsi="Arial" w:cs="Arial"/>
          <w:i/>
          <w:iCs/>
          <w:color w:val="000000"/>
          <w:sz w:val="20"/>
          <w:szCs w:val="20"/>
        </w:rPr>
        <w:t>Hỗ trợ cán cân thanh toán</w:t>
      </w:r>
      <w:r w:rsidRPr="00AD0F7B">
        <w:rPr>
          <w:rFonts w:ascii="Arial" w:eastAsia="Times New Roman" w:hAnsi="Arial" w:cs="Arial"/>
          <w:color w:val="000000"/>
          <w:sz w:val="20"/>
          <w:szCs w:val="20"/>
        </w:rPr>
        <w:t xml:space="preserve">” là phương thức viện trợ mà Bên tài trợ hỗ trợ cân đối ngoại tệ cho Chính phủ Việt Nam để nhập khẩu trang thiết bị, hàng hoá nước ngoài (hoặc mua hàng hoá có nguồn gốc nhập khẩu tại Việt Nam)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thoả thuận hỗ trợ cán cân thanh toán.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4. “</w:t>
      </w:r>
      <w:r w:rsidRPr="00AD0F7B">
        <w:rPr>
          <w:rFonts w:ascii="Arial" w:eastAsia="Times New Roman" w:hAnsi="Arial" w:cs="Arial"/>
          <w:i/>
          <w:iCs/>
          <w:color w:val="000000"/>
          <w:sz w:val="20"/>
          <w:szCs w:val="20"/>
        </w:rPr>
        <w:t>Hỗ trợ ngân sách trực tiếp</w:t>
      </w:r>
      <w:r w:rsidRPr="00AD0F7B">
        <w:rPr>
          <w:rFonts w:ascii="Arial" w:eastAsia="Times New Roman" w:hAnsi="Arial" w:cs="Arial"/>
          <w:color w:val="000000"/>
          <w:sz w:val="20"/>
          <w:szCs w:val="20"/>
        </w:rPr>
        <w:t xml:space="preserve">” là phương thức viện trợ mà tiền viện trợ được chuyển trực tiếp vào NSNN nhằm hỗ trợ chi tiêu </w:t>
      </w:r>
      <w:proofErr w:type="gramStart"/>
      <w:r w:rsidRPr="00AD0F7B">
        <w:rPr>
          <w:rFonts w:ascii="Arial" w:eastAsia="Times New Roman" w:hAnsi="Arial" w:cs="Arial"/>
          <w:color w:val="000000"/>
          <w:sz w:val="20"/>
          <w:szCs w:val="20"/>
        </w:rPr>
        <w:t>chung</w:t>
      </w:r>
      <w:proofErr w:type="gramEnd"/>
      <w:r w:rsidRPr="00AD0F7B">
        <w:rPr>
          <w:rFonts w:ascii="Arial" w:eastAsia="Times New Roman" w:hAnsi="Arial" w:cs="Arial"/>
          <w:color w:val="000000"/>
          <w:sz w:val="20"/>
          <w:szCs w:val="20"/>
        </w:rPr>
        <w:t xml:space="preserve"> của NSNN (hỗ trợ ngân sách chung), hoặc hỗ trợ chi tiêu ngân sách cho một ngành kinh tế cụ thể (hỗ trợ ngân sách ngành).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5. “</w:t>
      </w:r>
      <w:r w:rsidRPr="00AD0F7B">
        <w:rPr>
          <w:rFonts w:ascii="Arial" w:eastAsia="Times New Roman" w:hAnsi="Arial" w:cs="Arial"/>
          <w:i/>
          <w:iCs/>
          <w:color w:val="000000"/>
          <w:sz w:val="20"/>
          <w:szCs w:val="20"/>
        </w:rPr>
        <w:t>Hỗ trợ tiếp cận theo ngành, lĩnh vực</w:t>
      </w:r>
      <w:r w:rsidRPr="00AD0F7B">
        <w:rPr>
          <w:rFonts w:ascii="Arial" w:eastAsia="Times New Roman" w:hAnsi="Arial" w:cs="Arial"/>
          <w:color w:val="000000"/>
          <w:sz w:val="20"/>
          <w:szCs w:val="20"/>
        </w:rPr>
        <w:t>” là phương thức viện trợ cho chương trình phát triển của một ngành hay một lĩnh vực kinh tế cụ thể, để hỗ trợ nguồn lực bổ sung nhằm đảm bảo cho ngành, lĩnh vực kinh tế đó được thực hiện một cách đồng bộ, bền vững và hiệu quả.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Hỗ trợ tiếp cận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ngành, lĩnh vực được tổ chức theo một chương trình bao gồm nhiều dự án thành phần, với sự tham gia của nhiều cơ quan chủ quản, trong đó một cơ quan chủ quản giữ vai trò điều phối chung đối với các cơ quan chủ quản dự án thành phần.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6. “</w:t>
      </w:r>
      <w:r w:rsidRPr="00AD0F7B">
        <w:rPr>
          <w:rFonts w:ascii="Arial" w:eastAsia="Times New Roman" w:hAnsi="Arial" w:cs="Arial"/>
          <w:i/>
          <w:iCs/>
          <w:color w:val="000000"/>
          <w:sz w:val="20"/>
          <w:szCs w:val="20"/>
        </w:rPr>
        <w:t>Viện trợ nước ngoài do Việt Nam điều hành</w:t>
      </w:r>
      <w:r w:rsidRPr="00AD0F7B">
        <w:rPr>
          <w:rFonts w:ascii="Arial" w:eastAsia="Times New Roman" w:hAnsi="Arial" w:cs="Arial"/>
          <w:color w:val="000000"/>
          <w:sz w:val="20"/>
          <w:szCs w:val="20"/>
        </w:rPr>
        <w:t xml:space="preserve">” là phương thức viện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đó nhà tài trợ chuyển tiền viện trợ cho chủ dự án phía Việt Nam để tự tổ chức quản lý và thực hiện dự án viện trợ theo thoả thuận hai bên. Phương thức viện trợ này bao hàm cả các dự án đồng giám đốc điều hành của hai bên, hoặc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mô hình quỹ uỷ thác của Bên tài trợ cho Việt Nam.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7. “</w:t>
      </w:r>
      <w:r w:rsidRPr="00AD0F7B">
        <w:rPr>
          <w:rFonts w:ascii="Arial" w:eastAsia="Times New Roman" w:hAnsi="Arial" w:cs="Arial"/>
          <w:i/>
          <w:iCs/>
          <w:color w:val="000000"/>
          <w:sz w:val="20"/>
          <w:szCs w:val="20"/>
        </w:rPr>
        <w:t>Viện trợ nước ngoài do Bên tài trợ trực tiếp quản lý</w:t>
      </w:r>
      <w:r w:rsidRPr="00AD0F7B">
        <w:rPr>
          <w:rFonts w:ascii="Arial" w:eastAsia="Times New Roman" w:hAnsi="Arial" w:cs="Arial"/>
          <w:color w:val="000000"/>
          <w:sz w:val="20"/>
          <w:szCs w:val="20"/>
        </w:rPr>
        <w:t xml:space="preserve">” là phương thức viện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đó Bên tài trợ trực tiếp quản lý tài chính dự án, hoặc uỷ thác cho một tổ chức PCPNN thực hiện dự án viện trợ. Kết thúc dự án, Bên tài trợ chuyển giao lại tài sản và kết quả của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cho phía Việt Nam.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8. "</w:t>
      </w:r>
      <w:r w:rsidRPr="00AD0F7B">
        <w:rPr>
          <w:rFonts w:ascii="Arial" w:eastAsia="Times New Roman" w:hAnsi="Arial" w:cs="Arial"/>
          <w:i/>
          <w:iCs/>
          <w:color w:val="000000"/>
          <w:sz w:val="20"/>
          <w:szCs w:val="20"/>
        </w:rPr>
        <w:t>Hỗ trợ kỹ thuật</w:t>
      </w:r>
      <w:r w:rsidRPr="00AD0F7B">
        <w:rPr>
          <w:rFonts w:ascii="Arial" w:eastAsia="Times New Roman" w:hAnsi="Arial" w:cs="Arial"/>
          <w:color w:val="000000"/>
          <w:sz w:val="20"/>
          <w:szCs w:val="20"/>
        </w:rPr>
        <w:t>" là phương thức viện trợ nhằm mục tiêu hỗ trợ phát triển năng lực và thể chế cho phía Việt Nam, hoặc cung cấp các yếu tố đầu vào kỹ thuật để chuẩn bị và thực hiện các dự án đầu tư, như cung cấp chuyên gia, đào tạo, hỗ trợ trang thiết bị, tư liệu và tài liệu, chi phí tham quan, khảo sát, hội thảo.</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9. “</w:t>
      </w:r>
      <w:r w:rsidRPr="00AD0F7B">
        <w:rPr>
          <w:rFonts w:ascii="Arial" w:eastAsia="Times New Roman" w:hAnsi="Arial" w:cs="Arial"/>
          <w:i/>
          <w:iCs/>
          <w:color w:val="000000"/>
          <w:sz w:val="20"/>
          <w:szCs w:val="20"/>
        </w:rPr>
        <w:t>Viện trợ hàng hoá</w:t>
      </w:r>
      <w:r w:rsidRPr="00AD0F7B">
        <w:rPr>
          <w:rFonts w:ascii="Arial" w:eastAsia="Times New Roman" w:hAnsi="Arial" w:cs="Arial"/>
          <w:color w:val="000000"/>
          <w:sz w:val="20"/>
          <w:szCs w:val="20"/>
        </w:rPr>
        <w:t xml:space="preserve">” là phương thức viện trợ trực tiếp bằng hàng hoá, vật tư của Chính phủ nước ngoài tài trợ cho Chính phủ Việt Nam. Hàng hoá, vật tư viện trợ được Bộ Tài chính tổ chức bán đấu giá tại thị </w:t>
      </w:r>
      <w:r w:rsidRPr="00AD0F7B">
        <w:rPr>
          <w:rFonts w:ascii="Arial" w:eastAsia="Times New Roman" w:hAnsi="Arial" w:cs="Arial"/>
          <w:color w:val="000000"/>
          <w:sz w:val="20"/>
          <w:szCs w:val="20"/>
        </w:rPr>
        <w:lastRenderedPageBreak/>
        <w:t xml:space="preserve">trường Việt Nam và tiền bán đấu giá được nộp vào NSNN hoặc được cấp phát cho các dự án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thoả thuận giữa các Chính phủ.</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10. “</w:t>
      </w:r>
      <w:r w:rsidRPr="00AD0F7B">
        <w:rPr>
          <w:rFonts w:ascii="Arial" w:eastAsia="Times New Roman" w:hAnsi="Arial" w:cs="Arial"/>
          <w:i/>
          <w:iCs/>
          <w:color w:val="000000"/>
          <w:sz w:val="20"/>
          <w:szCs w:val="20"/>
        </w:rPr>
        <w:t>Cứu trợ khẩn cấp</w:t>
      </w:r>
      <w:r w:rsidRPr="00AD0F7B">
        <w:rPr>
          <w:rFonts w:ascii="Arial" w:eastAsia="Times New Roman" w:hAnsi="Arial" w:cs="Arial"/>
          <w:color w:val="000000"/>
          <w:sz w:val="20"/>
          <w:szCs w:val="20"/>
        </w:rPr>
        <w:t>” là phương thức viện trợ mà các nhà tài trợ chuyển giao tiền hoặc hàng hoá cho các nạn nhân bị thiệt hại ngay khi xảy ra các trường hợp thiên tai, dịch bệnh hoặc chiến tranh.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11. “</w:t>
      </w:r>
      <w:r w:rsidRPr="00AD0F7B">
        <w:rPr>
          <w:rFonts w:ascii="Arial" w:eastAsia="Times New Roman" w:hAnsi="Arial" w:cs="Arial"/>
          <w:i/>
          <w:iCs/>
          <w:color w:val="000000"/>
          <w:sz w:val="20"/>
          <w:szCs w:val="20"/>
        </w:rPr>
        <w:t>Viện trợ phi dự án</w:t>
      </w:r>
      <w:r w:rsidRPr="00AD0F7B">
        <w:rPr>
          <w:rFonts w:ascii="Arial" w:eastAsia="Times New Roman" w:hAnsi="Arial" w:cs="Arial"/>
          <w:color w:val="000000"/>
          <w:sz w:val="20"/>
          <w:szCs w:val="20"/>
        </w:rPr>
        <w:t xml:space="preserve">” là các khoản viện trợ lẻ, không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chương trình, dự án cụ thể, được cung cấp dưới dạng hiện vật, tiền hoặc chuyên gia (kể cả chuyên gia tình nguyện).</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9" w:name="chuong_2"/>
      <w:r w:rsidRPr="00AD0F7B">
        <w:rPr>
          <w:rFonts w:ascii="Arial" w:eastAsia="Times New Roman" w:hAnsi="Arial" w:cs="Arial"/>
          <w:b/>
          <w:bCs/>
          <w:color w:val="000000"/>
          <w:sz w:val="20"/>
          <w:szCs w:val="20"/>
        </w:rPr>
        <w:t>Phần II</w:t>
      </w:r>
      <w:bookmarkEnd w:id="9"/>
    </w:p>
    <w:p w:rsidR="00AD0F7B" w:rsidRPr="00AD0F7B" w:rsidRDefault="00AD0F7B" w:rsidP="00AD0F7B">
      <w:pPr>
        <w:shd w:val="clear" w:color="auto" w:fill="FFFFFF"/>
        <w:spacing w:after="0" w:line="234" w:lineRule="atLeast"/>
        <w:jc w:val="center"/>
        <w:rPr>
          <w:rFonts w:ascii="Arial" w:eastAsia="Times New Roman" w:hAnsi="Arial" w:cs="Arial"/>
          <w:color w:val="000000"/>
          <w:sz w:val="18"/>
          <w:szCs w:val="18"/>
        </w:rPr>
      </w:pPr>
      <w:bookmarkStart w:id="10" w:name="chuong_2_name"/>
      <w:r w:rsidRPr="00AD0F7B">
        <w:rPr>
          <w:rFonts w:ascii="Arial" w:eastAsia="Times New Roman" w:hAnsi="Arial" w:cs="Arial"/>
          <w:b/>
          <w:bCs/>
          <w:color w:val="000000"/>
          <w:sz w:val="18"/>
          <w:szCs w:val="18"/>
        </w:rPr>
        <w:t>QUY ĐỊNH CỤ THỂ</w:t>
      </w:r>
      <w:bookmarkEnd w:id="10"/>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1" w:name="dieu_6"/>
      <w:proofErr w:type="gramStart"/>
      <w:r w:rsidRPr="00AD0F7B">
        <w:rPr>
          <w:rFonts w:ascii="Arial" w:eastAsia="Times New Roman" w:hAnsi="Arial" w:cs="Arial"/>
          <w:b/>
          <w:bCs/>
          <w:color w:val="000000"/>
          <w:sz w:val="20"/>
          <w:szCs w:val="20"/>
        </w:rPr>
        <w:t>Điều 6.</w:t>
      </w:r>
      <w:proofErr w:type="gramEnd"/>
      <w:r w:rsidRPr="00AD0F7B">
        <w:rPr>
          <w:rFonts w:ascii="Arial" w:eastAsia="Times New Roman" w:hAnsi="Arial" w:cs="Arial"/>
          <w:b/>
          <w:bCs/>
          <w:color w:val="000000"/>
          <w:sz w:val="20"/>
          <w:szCs w:val="20"/>
        </w:rPr>
        <w:t xml:space="preserve"> Lập kế hoạch tài chính dự </w:t>
      </w:r>
      <w:proofErr w:type="gramStart"/>
      <w:r w:rsidRPr="00AD0F7B">
        <w:rPr>
          <w:rFonts w:ascii="Arial" w:eastAsia="Times New Roman" w:hAnsi="Arial" w:cs="Arial"/>
          <w:b/>
          <w:bCs/>
          <w:color w:val="000000"/>
          <w:sz w:val="20"/>
          <w:szCs w:val="20"/>
        </w:rPr>
        <w:t>án</w:t>
      </w:r>
      <w:proofErr w:type="gramEnd"/>
      <w:r w:rsidRPr="00AD0F7B">
        <w:rPr>
          <w:rFonts w:ascii="Arial" w:eastAsia="Times New Roman" w:hAnsi="Arial" w:cs="Arial"/>
          <w:b/>
          <w:bCs/>
          <w:color w:val="000000"/>
          <w:sz w:val="20"/>
          <w:szCs w:val="20"/>
        </w:rPr>
        <w:t xml:space="preserve"> viện trợ</w:t>
      </w:r>
      <w:bookmarkEnd w:id="11"/>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Kế hoạch tài chính dự án viện trợ là kế hoạch giải ngân vốn viện trợ và vốn đối ứng của các dự án ODA không hoàn lại và dự án viện trợ PCPNN (bao gồm cả kế hoạch vốn cho thời kỳ chuẩn bị và thời kỳ thực hiện dự án), do các chủ dự án viện trợ lập theo các hướng dẫn về lập kế hoạch tài chính đối với các dự án ODA quy định tại Thông tư số </w:t>
      </w:r>
      <w:hyperlink r:id="rId14" w:tgtFrame="_blank" w:tooltip="Thông tư 108/2007/TT-BTC" w:history="1">
        <w:r w:rsidRPr="00AD0F7B">
          <w:rPr>
            <w:rFonts w:ascii="Arial" w:eastAsia="Times New Roman" w:hAnsi="Arial" w:cs="Arial"/>
            <w:color w:val="0E70C3"/>
            <w:sz w:val="20"/>
            <w:szCs w:val="20"/>
          </w:rPr>
          <w:t>108/2007/TT-BTC</w:t>
        </w:r>
      </w:hyperlink>
      <w:r w:rsidRPr="00AD0F7B">
        <w:rPr>
          <w:rFonts w:ascii="Arial" w:eastAsia="Times New Roman" w:hAnsi="Arial" w:cs="Arial"/>
          <w:color w:val="000000"/>
          <w:sz w:val="20"/>
          <w:szCs w:val="20"/>
        </w:rPr>
        <w:t> ngày 7/9/2007 của Bộ Tài chính hướng dẫn cơ chế quản lý tài chính đối với các chương trình, dự án hỗ trợ phát triển chính thức (ODA).</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Kế hoạch tài chính dự án viện trợ phải phù hợp với văn kiện dự án viện trợ được cấp có thẩm quyền phê duyệt, kèm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báo cáo thuyết minh cụ thể cơ sở, căn cứ tính toán.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Kế hoạch tài chính dự án viện trợ hàng năm được lập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mẫu quy định tại Phụ lục 1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2. Hàng năm, vào thời điểm lập dự toán NSNN, chủ dự án viện trợ lập kế hoạch tài chính dự án viện trợ cùng với dự toán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chi ngân sách thuộc phạm vi nhiệm vụ được giao, gửi cho cơ quan quản lý cấp trên trực tiếp. </w:t>
      </w:r>
      <w:proofErr w:type="gramStart"/>
      <w:r w:rsidRPr="00AD0F7B">
        <w:rPr>
          <w:rFonts w:ascii="Arial" w:eastAsia="Times New Roman" w:hAnsi="Arial" w:cs="Arial"/>
          <w:color w:val="000000"/>
          <w:sz w:val="20"/>
          <w:szCs w:val="20"/>
        </w:rPr>
        <w:t>Cơ quan quản lý cấp trên trực tiếp (trường hợp không phải là đơn vị dự toán cấp I) có trách nhiệm xem xét, tổng hợp dự toán ngân sách của các đơn vị cấp dưới trực thuộc để gửi cho cơ quan quản lý cấp trên là đơn vị dự toán cấp I.</w:t>
      </w:r>
      <w:proofErr w:type="gramEnd"/>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Các cơ quan nhà nước ở Trung ương và địa phương (đơn vị dự toán cấp I) xem xét, tổng hợp dự toán của các đơn vị trực thuộc vào dự toán ngân sách thuộc phạm </w:t>
      </w:r>
      <w:proofErr w:type="gramStart"/>
      <w:r w:rsidRPr="00AD0F7B">
        <w:rPr>
          <w:rFonts w:ascii="Arial" w:eastAsia="Times New Roman" w:hAnsi="Arial" w:cs="Arial"/>
          <w:color w:val="000000"/>
          <w:sz w:val="20"/>
          <w:szCs w:val="20"/>
        </w:rPr>
        <w:t>vi</w:t>
      </w:r>
      <w:proofErr w:type="gramEnd"/>
      <w:r w:rsidRPr="00AD0F7B">
        <w:rPr>
          <w:rFonts w:ascii="Arial" w:eastAsia="Times New Roman" w:hAnsi="Arial" w:cs="Arial"/>
          <w:color w:val="000000"/>
          <w:sz w:val="20"/>
          <w:szCs w:val="20"/>
        </w:rPr>
        <w:t xml:space="preserve"> trực tiếp quản lý, gửi cơ quan Tài chính và cơ quan Kế hoạch và Đầu tư cùng cấp.</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Sau khi dự toán ngân sách hàng năm được Quốc hội quyết định, Thủ tướng Chính phủ giao, Bộ Tài chính và Bộ Kế hoạch và Đầu tư thông báo dự toán được giao cho các Bộ, địa phương thực hiện.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Đối với viện trợ nước ngoài trực tiếp cho ngân sách nhà nước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chương trình “hỗ trợ tiếp cận theo ngành, lĩnh vực”: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Vào thời điểm lập dự toán NSNN hàng năm, căn cứ vào nhu cầu giải ngân cho năm kế hoạch và tình hình thực hiện chương trình năm trước, cơ quan chủ quản chịu trách nhiệm lập và tổng hợp nhu cầu sử dụng vốn viện trợ của chương trình.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Bộ Tài chính phối hợp với Bên tài trợ để xác định chính thức mức giải ngân vốn viện trợ năm kế hoạch và thông báo cho chủ dự án để xây dựng phương án phân bổ dự toán của chương trình, gửi Bộ Kế hoạch và Đầu tư và Bộ Tài chính để tổng hợp trình Chính phủ, Quốc hội quyết định.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4. Đối với “vốn viện trợ hỗ trợ trực tiếp cho NSNN” được cân đối vào dự toán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NSNN hàng năm và bố trí dự toán chi NSNN để thực hiện các nhiệm vụ chi chung của NSNN. Việc lập dự toán nguồn vốn viện trợ hỗ trợ trực tiếp cho NSNN được thực hiện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quy định về lập và chấp hành ngân sách hiện hành và phù hợp với các điều ước, thoả thuận quốc tế đã ký kết (nếu có).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5. Không phải lập kế hoạch tài chính viện trợ nước ngoài đối với các khoản viện trợ phi dự án, viện trợ hàng hoá, cứu trợ khẩn cấp, hoặc với các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do Bên tài trợ trực tiếp quản lý. Căn cứ vào thực tế tiền, hàng viện trợ, hoặc tài sản bàn giao của Bên tài trợ, cơ quan hoặc đơn vị được giao trách nhiệm tiếp nhận, sử dụng khoản viện trợ phi dự án, viện trợ hàng hoá, tài sản bàn giao từ dự án do Bên tài trợ trực tiếp quản lý có trách nhiệm gửi báo cáo thực hiện kèm theo hồ sơ viện trợ cho cơ quan chủ quản và cơ quan Tài chính để làm thủ tục xác nhận viện trợ và hạch toán ngân sách.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6. Trong trường hợp điều ước, thoả thuận quốc tế về dự án đã ký kết nhưng chưa có hiệu lực, hoặc đã có hiệu lực nhưng chưa hoàn thành các thủ tục đầu tư trong nước, trong thời hạn lập dự toán ngân sách hàng năm, cơ quan chủ quản có trách nhiệm báo cáo Bộ Kế hoạch và Đầu tư, Bộ Tài chính để bố trí </w:t>
      </w:r>
      <w:r w:rsidRPr="00AD0F7B">
        <w:rPr>
          <w:rFonts w:ascii="Arial" w:eastAsia="Times New Roman" w:hAnsi="Arial" w:cs="Arial"/>
          <w:color w:val="000000"/>
          <w:sz w:val="20"/>
          <w:szCs w:val="20"/>
        </w:rPr>
        <w:lastRenderedPageBreak/>
        <w:t>trong dự phòng chi XDCB hoặc từng lĩnh vực chi HCSN, trình cấp có thẩm quyền quyết định (nếu là trường hợp ngân sách trung ương chịu trách nhiệm bố trí vốn đối ứng), hoặc chủ dự án có trách nhiệm báo cáo cơ quan chủ quản dự án ở địa phương để bố trí trong dự phòng ngân sách địa phương, trình cấp có thẩm quyền quyết định (nếu là trường hợp ngân sách địa phương chịu trách nhiệm bố trí vốn đối ứng).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7. Đối với các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được phê duyệt sau thời điểm lập kế hoạch ngân sách hàng năm, cơ quan chủ quản lập kế hoạch bổ sung vào thời gian bổ sung kế hoạch ngân sách hàng năm. Đối với các khoản viện trợ PCPNN nhỏ, lẻ, phát sinh đột xuất trong năm, cơ quan chủ quản báo cáo cơ quan Kế hoạch và Đầu tư và cơ quan Tài chính đồng cấp để xử lý từng trường hợp cụ thể, căn cứ vào thông báo giải ngân của Bên tài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8. Kế hoạch tài chính dự án viện trợ nước ngoài hàng năm, sau khi đã được cơ quan có thẩm quyền phê duyệt và thông báo, là cơ sở để cơ quan Tài chính thực hiện việc rút vốn viện trợ, cấp phát vốn đối ứng và quản lý tài chính đối với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9. Đối với một số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nhỏ, có thời gian thực hiện gối đầu giữa 2 năm ngân sách liên tục, thì kế hoạch tài chính lập năm trước được chuyển sang năm sau để thực hiện, không phải lập kế hoạch tài chính cho năm sau.</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2" w:name="dieu_7"/>
      <w:proofErr w:type="gramStart"/>
      <w:r w:rsidRPr="00AD0F7B">
        <w:rPr>
          <w:rFonts w:ascii="Arial" w:eastAsia="Times New Roman" w:hAnsi="Arial" w:cs="Arial"/>
          <w:b/>
          <w:bCs/>
          <w:color w:val="000000"/>
          <w:sz w:val="20"/>
          <w:szCs w:val="20"/>
        </w:rPr>
        <w:t>Điều 7.</w:t>
      </w:r>
      <w:proofErr w:type="gramEnd"/>
      <w:r w:rsidRPr="00AD0F7B">
        <w:rPr>
          <w:rFonts w:ascii="Arial" w:eastAsia="Times New Roman" w:hAnsi="Arial" w:cs="Arial"/>
          <w:b/>
          <w:bCs/>
          <w:color w:val="000000"/>
          <w:sz w:val="20"/>
          <w:szCs w:val="20"/>
        </w:rPr>
        <w:t xml:space="preserve"> Xác nhận viện trợ</w:t>
      </w:r>
      <w:bookmarkEnd w:id="12"/>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Xác nhận viện trợ là việc cơ quan Tài chính các cấp (Bộ Tài chính, Sở Tài chính) xác nhận hàng hoá nhập khẩu, hàng hoá dịch vụ trong nước mua bằng tiền viện trợ hoặc xác nhận số tiền viện trợ đã nhận được trên Tờ khai xác nhận viện trợ do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kê khai.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Các trường hợp không cần xác nhận viện trợ gồm có: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Các khoản viện trợ bằng tiền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hình thức hỗ trợ ngân sách trực tiếp.</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Các khoản viện trợ phi vật chất.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Phân công xác nhận viện trợ: được thực hiện phù hợp với phân cấp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giữa ngân sách các cấp, cụ thể như sau:</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Bộ Tài chính ký xác nhận trên các Tờ khai xác nhận viện trợ đối với: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 nêu tại khoản 5 Điều 1 Thông tư này;</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Các khoản cứu trợ khẩn cấp không có địa chỉ cụ thể, thuộc thẩm quyền phê duyệt của Chủ tịch Uỷ ban Trung ương Mặt trận Tổ quốc Việt Nam (quy định tại </w:t>
      </w:r>
      <w:bookmarkStart w:id="13" w:name="dc_1"/>
      <w:r w:rsidRPr="00AD0F7B">
        <w:rPr>
          <w:rFonts w:ascii="Arial" w:eastAsia="Times New Roman" w:hAnsi="Arial" w:cs="Arial"/>
          <w:color w:val="000000"/>
          <w:sz w:val="20"/>
          <w:szCs w:val="20"/>
        </w:rPr>
        <w:t>Điều 15 Nghị định số </w:t>
      </w:r>
      <w:bookmarkEnd w:id="13"/>
      <w:r w:rsidRPr="00AD0F7B">
        <w:rPr>
          <w:rFonts w:ascii="Arial" w:eastAsia="Times New Roman" w:hAnsi="Arial" w:cs="Arial"/>
          <w:color w:val="000000"/>
          <w:sz w:val="20"/>
          <w:szCs w:val="20"/>
        </w:rPr>
        <w:fldChar w:fldCharType="begin"/>
      </w:r>
      <w:r w:rsidRPr="00AD0F7B">
        <w:rPr>
          <w:rFonts w:ascii="Arial" w:eastAsia="Times New Roman" w:hAnsi="Arial" w:cs="Arial"/>
          <w:color w:val="000000"/>
          <w:sz w:val="20"/>
          <w:szCs w:val="20"/>
        </w:rPr>
        <w:instrText xml:space="preserve"> HYPERLINK "https://thuvienphapluat.vn/van-ban/tai-chinh-nha-nuoc/nghi-dinh-93-2009-nd-cp-quy-che-quan-ly-su-dung-vien-tro-phi-chinh-phu-nuoc-ngoai-96532.aspx" \o "Nghị định 93/2009/NĐ-CP" \t "_blank" </w:instrText>
      </w:r>
      <w:r w:rsidRPr="00AD0F7B">
        <w:rPr>
          <w:rFonts w:ascii="Arial" w:eastAsia="Times New Roman" w:hAnsi="Arial" w:cs="Arial"/>
          <w:color w:val="000000"/>
          <w:sz w:val="20"/>
          <w:szCs w:val="20"/>
        </w:rPr>
        <w:fldChar w:fldCharType="separate"/>
      </w:r>
      <w:r w:rsidRPr="00AD0F7B">
        <w:rPr>
          <w:rFonts w:ascii="Arial" w:eastAsia="Times New Roman" w:hAnsi="Arial" w:cs="Arial"/>
          <w:color w:val="0E70C3"/>
          <w:sz w:val="20"/>
          <w:szCs w:val="20"/>
        </w:rPr>
        <w:t>93/2009/NĐ-CP</w:t>
      </w:r>
      <w:r w:rsidRPr="00AD0F7B">
        <w:rPr>
          <w:rFonts w:ascii="Arial" w:eastAsia="Times New Roman" w:hAnsi="Arial" w:cs="Arial"/>
          <w:color w:val="000000"/>
          <w:sz w:val="20"/>
          <w:szCs w:val="20"/>
        </w:rPr>
        <w:fldChar w:fldCharType="end"/>
      </w:r>
      <w:r w:rsidRPr="00AD0F7B">
        <w:rPr>
          <w:rFonts w:ascii="Arial" w:eastAsia="Times New Roman" w:hAnsi="Arial" w:cs="Arial"/>
          <w:color w:val="000000"/>
          <w:sz w:val="20"/>
          <w:szCs w:val="20"/>
        </w:rPr>
        <w:t> của Chính phủ);0</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Viện trợ hàng hoá nhập khẩu cho một số địa phương, nhưng do một tổ chức nhà nước thuộc Trung ương làm đầu mối nhận hàng và phân phối (hàng nhập </w:t>
      </w:r>
      <w:proofErr w:type="gramStart"/>
      <w:r w:rsidRPr="00AD0F7B">
        <w:rPr>
          <w:rFonts w:ascii="Arial" w:eastAsia="Times New Roman" w:hAnsi="Arial" w:cs="Arial"/>
          <w:color w:val="000000"/>
          <w:sz w:val="20"/>
          <w:szCs w:val="20"/>
        </w:rPr>
        <w:t>chung</w:t>
      </w:r>
      <w:proofErr w:type="gramEnd"/>
      <w:r w:rsidRPr="00AD0F7B">
        <w:rPr>
          <w:rFonts w:ascii="Arial" w:eastAsia="Times New Roman" w:hAnsi="Arial" w:cs="Arial"/>
          <w:color w:val="000000"/>
          <w:sz w:val="20"/>
          <w:szCs w:val="20"/>
        </w:rPr>
        <w:t xml:space="preserve"> vận đơn).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Sở Tài chính ký xác nhận trên các Tờ khai xác nhận viện trợ đối với viện trợ nước ngoài thuộc nguồn thu ngân sách địa phương nêu tại khoản 6 Điều 1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4. Mục đích lập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Để cơ quan Tài chính tổng hợp số liệu và tình hình tiếp nhận và sử dụng viện trợ nước ngoài và thực hiện hạch toán NSNN đối với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NSNN.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Là một trong những tài liệu pháp lý để cơ quan Hải quan thực hiện việc miễn thuế xuất nhập khẩu, thuế tiêu thụ đặc biệt (nếu có), thuế giá trị gia tăng ở khâu nhập khẩu đối với trang thiết bị, máy móc, vật tư, đồ dùng và các loại hàng hoá nhập khẩu bằng nguồn tiền viện trợ nước ngoài; hoặc để cơ quan Thuế hoàn lại thuế giá trị gia tăng đối với các hàng hoá và dịch vụ mua sắm, chi tiêu trong nước bằng nguồn tiền viện trợ nước ngoài, theo quy định của pháp luật về thuế hiện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Để chủ dự án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quản lý dự án viện trợ nước ngoài và lập các báo cáo về tiếp nhận và sử dụng viện trợ theo quy định tại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5. Mẫu Tờ khai xác nhận viện trợ được quy định tại Phụ lục 2 Thông tư này, gồm có: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a) Mẫu C1-HD/XNVT “Tờ khai xác nhận viện trợ hàng hoá nhập khẩu”: được sử dụng trong kê khai tiếp nhận viện trợ bằng hiện vật là các trang thiết bị, máy móc, vật tư, nguyên liệu và các loại hàng hoá khác nhập khẩu từ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Mẫu C2-HD/XNVT “Tờ khai xác nhận viện trợ hàng hoá, dịch vụ trong nước” được sử dụng trong kê khai tiếp nhận viện trợ nước ngoài là các trang thiết bị, máy móc, vật tư, nguyên liệu và các loại hàng hoá khác mua trong nước (kể cả chi phí dịch vụ phục vụ) từ nguồn tiền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proofErr w:type="gramStart"/>
      <w:r w:rsidRPr="00AD0F7B">
        <w:rPr>
          <w:rFonts w:ascii="Arial" w:eastAsia="Times New Roman" w:hAnsi="Arial" w:cs="Arial"/>
          <w:color w:val="000000"/>
          <w:sz w:val="20"/>
          <w:szCs w:val="20"/>
        </w:rPr>
        <w:t>c) Mẫu C3-HD/XNVT “Tờ khai xác nhận viện trợ bằng tiền” được sử dụng trong kê khai khi tiếp nhận viện trợ nước ngoài bằng tiền.</w:t>
      </w:r>
      <w:proofErr w:type="gramEnd"/>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6. Số lượng Tờ khai xác nhận viện trợ: Tờ khai xác nhận viện trợ được lập ít nhất thành sáu (06) bản chính, trong đó: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Cơ quan Tài chính giữ ba (03) bản chính, trong đó hai (02) bản để hạch toán NSNN và một (01) bản để lưu Sổ đăng ký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Cơ quan Hải quan/Cơ quan Thuế mỗi cơ quan giữ một (01) bản chính để xử lý và lưu hồ sơ miễn thuế, hoàn thuế;</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Cơ quan chủ quản giữ một (01) bản chính để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quản lý và lập các báo cáo tổng hợp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d)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giữ một (01) bản chính để lập các báo cáo tiếp nhận, thanh toán và quyết toán chương trình, dự án viện trợ. Trong trường hợp có nhiều đơn vị sử dụng viện trợ được xác nhận viện trợ trong một Tờ khai xác nhận viện trợ, thì cần khai thêm đủ số bản chính để mỗi đơn vị sử dụng viện trợ được giữ một (01) bản chính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Trường hợp hàng viện trợ là các phương tiện vận tải (tầu thuyền, </w:t>
      </w:r>
      <w:proofErr w:type="gramStart"/>
      <w:r w:rsidRPr="00AD0F7B">
        <w:rPr>
          <w:rFonts w:ascii="Arial" w:eastAsia="Times New Roman" w:hAnsi="Arial" w:cs="Arial"/>
          <w:color w:val="000000"/>
          <w:sz w:val="20"/>
          <w:szCs w:val="20"/>
        </w:rPr>
        <w:t>xe</w:t>
      </w:r>
      <w:proofErr w:type="gramEnd"/>
      <w:r w:rsidRPr="00AD0F7B">
        <w:rPr>
          <w:rFonts w:ascii="Arial" w:eastAsia="Times New Roman" w:hAnsi="Arial" w:cs="Arial"/>
          <w:color w:val="000000"/>
          <w:sz w:val="20"/>
          <w:szCs w:val="20"/>
        </w:rPr>
        <w:t xml:space="preserve"> máy, ô tô), chủ dự án cần lập thêm một (01) bản chính để sử dụng khi đăng ký lưu hành phương tiện.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7. Thời điểm lập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Mẫu C1-HD/XNVT: “Tờ khai xác nhận viện trợ hàng hoá nhập khẩu” được khai ngay sau khi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nhận được chứng từ hàng hoá nhập khẩu.</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Mẫu C2-HD/XNVT: “Tờ khai xác nhận viện trợ hàng hoá, dịch vụ trong nước” được khai ngay sau khi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nhận được các hoá đơn, chứng từ mua sắm hàng hoá, thanh toán dịch vụ trong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Mẫu C3-HD/XNVT: “Tờ khai xác nhận viện trợ bằng tiền” được khai ngay khi nhận “giấy báo có” của Ngân hàng phục vụ hoặc của Kho bạc nhà nước nơi mở tài khoản tiếp nhận tiền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8. Hồ sơ cần thiết kèm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Đối với xác nhận viện trợ lần đầu tiên,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cần cung cấp cho cơ quan Tài chính các tài liệu pháp lý chứng minh nguồn viện trợ không hoàn lại, gồm có:</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Điều ước quốc tế cụ thể về ODA và văn bản uỷ quyền của Chính phủ về đàm phán, ký kết điều ước quốc tế cụ thể về ODA, được quy định tại Nghị định số </w:t>
      </w:r>
      <w:hyperlink r:id="rId15" w:tgtFrame="_blank" w:tooltip="Nghị định 131/2006/NĐ-CP" w:history="1">
        <w:r w:rsidRPr="00AD0F7B">
          <w:rPr>
            <w:rFonts w:ascii="Arial" w:eastAsia="Times New Roman" w:hAnsi="Arial" w:cs="Arial"/>
            <w:color w:val="0E70C3"/>
            <w:sz w:val="20"/>
            <w:szCs w:val="20"/>
          </w:rPr>
          <w:t>131/2006/NĐ-CP</w:t>
        </w:r>
      </w:hyperlink>
      <w:r w:rsidRPr="00AD0F7B">
        <w:rPr>
          <w:rFonts w:ascii="Arial" w:eastAsia="Times New Roman" w:hAnsi="Arial" w:cs="Arial"/>
          <w:color w:val="000000"/>
          <w:sz w:val="20"/>
          <w:szCs w:val="20"/>
        </w:rPr>
        <w:t> ngày 9/11/2006 của Chính phủ ban hành Quy chế quản lý và sử dụng nguồn hỗ trợ phát triển chính thức (ODA).</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Văn bản ghi nhớ về viện trợ PCPNN, Thoả thuận viện trợ PCPNN và văn bản phê duyệt việc tiếp nhận các khoản viện trợ PCPNN, được quy định tại Nghị định số </w:t>
      </w:r>
      <w:hyperlink r:id="rId16" w:tgtFrame="_blank" w:tooltip="Nghị định 93/2009/NĐ-CP" w:history="1">
        <w:r w:rsidRPr="00AD0F7B">
          <w:rPr>
            <w:rFonts w:ascii="Arial" w:eastAsia="Times New Roman" w:hAnsi="Arial" w:cs="Arial"/>
            <w:color w:val="0E70C3"/>
            <w:sz w:val="20"/>
            <w:szCs w:val="20"/>
          </w:rPr>
          <w:t>93/2009/NĐ-CP</w:t>
        </w:r>
      </w:hyperlink>
      <w:r w:rsidRPr="00AD0F7B">
        <w:rPr>
          <w:rFonts w:ascii="Arial" w:eastAsia="Times New Roman" w:hAnsi="Arial" w:cs="Arial"/>
          <w:color w:val="000000"/>
          <w:sz w:val="20"/>
          <w:szCs w:val="20"/>
        </w:rPr>
        <w:t> ngày 22/10/2009 của Chính phủ ban hành Quy chế quản lý và sử dụng viện trợ phi chính phủ nước ngoài.</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Văn bản xác nhận việc viện trợ, tài trợ, hiến, tặng (sau đây gọi chung là tài trợ) của Bên tài trợ để hỗ trợ cho hoạt động trong lĩnh vực khoa học và công nghệ và văn bản của cơ quan quản lý nhà nước có thẩm quyền quyết định việc tiếp nhận, quản lý và sử dụng tài trợ của tổ chức, cá nhân nước ngoài để hoạt động khoa học, công nghệ, được quy định tại Nghị định số </w:t>
      </w:r>
      <w:hyperlink r:id="rId17" w:tgtFrame="_blank" w:tooltip="Nghị định 80/2010/NĐ-CP" w:history="1">
        <w:r w:rsidRPr="00AD0F7B">
          <w:rPr>
            <w:rFonts w:ascii="Arial" w:eastAsia="Times New Roman" w:hAnsi="Arial" w:cs="Arial"/>
            <w:color w:val="0E70C3"/>
            <w:sz w:val="20"/>
            <w:szCs w:val="20"/>
          </w:rPr>
          <w:t>80/2010/NĐ-CP</w:t>
        </w:r>
      </w:hyperlink>
      <w:r w:rsidRPr="00AD0F7B">
        <w:rPr>
          <w:rFonts w:ascii="Arial" w:eastAsia="Times New Roman" w:hAnsi="Arial" w:cs="Arial"/>
          <w:color w:val="000000"/>
          <w:sz w:val="20"/>
          <w:szCs w:val="20"/>
        </w:rPr>
        <w:t> ngày 14/7/2010 của Chính phủ quy định về hợp tác, đầu tư với nước ngoài trong lĩnh vực khoa học và công nghệ.</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Đối với các dự án có sự tham gia của nhiều cơ quan, trong lần đầu lập Tờ khai xác nhận viện trợ, Ban quản lý dự án Trung ương cần sao thêm một số bản các tài liệu pháp lý nói trên (số lượng tuỳ theo số địa phương thụ hưởng chương trình, dự án) gửi cho Bộ Tài chính chuyển lại cho các Sở Tài chính liên quan </w:t>
      </w:r>
      <w:r w:rsidRPr="00AD0F7B">
        <w:rPr>
          <w:rFonts w:ascii="Arial" w:eastAsia="Times New Roman" w:hAnsi="Arial" w:cs="Arial"/>
          <w:color w:val="000000"/>
          <w:sz w:val="20"/>
          <w:szCs w:val="20"/>
        </w:rPr>
        <w:lastRenderedPageBreak/>
        <w:t>để phối hợp theo dõi quản lý và hạch toán NSNN nguồn viện trợ nước ngoài cho các đơn vị địa phương thụ hưởng.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Các tài liệu, chứng từ cụ thể là căn cứ để kê khai xác nhận viện trợ từng lần, như các chứng từ nhập khẩu, chứng từ mua hàng hoá và thuê dịch vụ trong nước, quyết định trúng thầu và hợp đồng giao nhận thầu (hợp đồng nhập khẩu hoặc uỷ thác nhập khẩu, hợp đồng xây dựng, hợp đồng mua bán hoặc hợp đồng tư vấn), biên bản nghiệm thu, bàn giao, quyết toán công trình xây dựng do nước ngoài viện trợ theo hình thức “chìa khoá trao tay”; thông báo giải ngân hoặc chứng từ chuyển tiền của nhà tài trợ và các tài liệu khác có liên quan.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9. Địa điểm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Bộ Tài chính: tại Cục Quản lý nợ và Tài chính đối ngoại - Bộ Tài chính tại Hà Nội (địa chỉ: 28 Trần Hưng Đạo), hoặc tại Tổ quản lý và tiếp nhận viện trợ quốc tế thuộc Cục Quản lý nợ và Tài chính đối ngoại đóng tại Thành phố Hồ Chí Minh (địa chỉ</w:t>
      </w:r>
      <w:proofErr w:type="gramStart"/>
      <w:r w:rsidRPr="00AD0F7B">
        <w:rPr>
          <w:rFonts w:ascii="Arial" w:eastAsia="Times New Roman" w:hAnsi="Arial" w:cs="Arial"/>
          <w:color w:val="000000"/>
          <w:sz w:val="20"/>
          <w:szCs w:val="20"/>
        </w:rPr>
        <w:t>:138</w:t>
      </w:r>
      <w:proofErr w:type="gramEnd"/>
      <w:r w:rsidRPr="00AD0F7B">
        <w:rPr>
          <w:rFonts w:ascii="Arial" w:eastAsia="Times New Roman" w:hAnsi="Arial" w:cs="Arial"/>
          <w:color w:val="000000"/>
          <w:sz w:val="20"/>
          <w:szCs w:val="20"/>
        </w:rPr>
        <w:t xml:space="preserve"> Nguyễn Thị Minh Khai) và đóng tại Thành phố Đà Nẵng (địa chỉ: 64 Pasteur).</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Sở Tài chính: Tuỳ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tình hình thực tế mà từng địa phương có thể bố trí địa điểm và tổ chức bộ phận chuyên trách hoặc giao cho một phòng chức năng của Sở Tài chính thực hiện.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10. Một số chú ý khi kê khai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proofErr w:type="gramStart"/>
      <w:r w:rsidRPr="00AD0F7B">
        <w:rPr>
          <w:rFonts w:ascii="Arial" w:eastAsia="Times New Roman" w:hAnsi="Arial" w:cs="Arial"/>
          <w:color w:val="000000"/>
          <w:sz w:val="20"/>
          <w:szCs w:val="20"/>
        </w:rPr>
        <w:t>a) Các Tờ khai Xác nhận viện trợ C1, C2 và C3-HD/XNVT phải được kê khai trên hai mặt của cùng một Tờ khai xác nhận viện trợ (không khai thành 2 tờ một mặt riêng biệt).</w:t>
      </w:r>
      <w:proofErr w:type="gramEnd"/>
      <w:r w:rsidRPr="00AD0F7B">
        <w:rPr>
          <w:rFonts w:ascii="Arial" w:eastAsia="Times New Roman" w:hAnsi="Arial" w:cs="Arial"/>
          <w:color w:val="000000"/>
          <w:sz w:val="20"/>
          <w:szCs w:val="20"/>
        </w:rPr>
        <w:t xml:space="preserve"> Trường hợp tại các mục kê khai theo các mẫu Tờ khai xác nhận viện trợ là không đủ chỗ trống để kê khai chi tiết (đặc biệt là mục kê khai chi tiết về tiền, hàng viện trợ), chủ dự án có thể khai chi tiết từng mục trên các phụ lục đính kèm Tờ khai xác nhận viện trợ đó. Các phụ lục chi tiết này cũng được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ký tên và đóng dấu.</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Các mẫu số C1, C2 và C3-HD-XNVT nói trên còn được dùng để kê khai các khoản tiền, hàng viện trợ để thực hiện một công trình xây dựng cơ bản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hình thức “chìa khoá trao tay”. Trong trường hợp này, tại mặt sau các Tờ khai xác nhận viện trợ này, chủ dự án có trách nhiệm kê khai thêm các thông tin cơ bản về công trình xây dựng cơ bản có liên quan (tại mục chi tiết “Viện trợ để xây dựng công trình”) để phục vụ cho việc hạch toán và quyết toán công trình xây dựng cơ bản sau khi đã hoàn thành và bàn giao cho phía Việt Nam.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Giá cả kê khai trên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Mẫu C1-HD/XNVT “Tờ khai xác nhận viện trợ hàng hoá nhập khẩu”: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giá mua trên hoá đơn hàng nhập khẩu (FOB, CIF, C&amp;F...).</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Trong trường hợp hàng hoá viện trợ nhập khẩu được nhà tài trợ ký hợp đồng uỷ thác nhập khẩu hoặc ký hợp đồng đấu thầu mua hàng hoá nhập khẩu với một doanh nghiệp trong nước, ngoài việc kê khai theo giá mua theo hoá đơn hàng nhập khẩu nói trên, chủ dự án cần khai thêm giá thực tế mà nhà tài trợ đã thanh toán cho doanh nghiệp trong nước từ nguồn viện trợ. Trị giá mua thực tế là cơ sở để cơ quan Tài chính hạch toán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ghi chi ngân sách khoản viện trợ đó.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Mẫu C2-HD/XNVT “Tờ khai xác nhận viện trợ hàng hoá, dịch vụ trong nước” được kê khai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giá không có thuế và giá có thuế (nếu có) trên hoá đơn cung cấp hàng hoá, dịch vụ trong nước. Trị giá mua không có thuế là cơ sở để cơ quan Tài chính hạch toán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ghi chi ngân sách khoản viện trợ đó.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d) Tỷ giá quy đổi ngoại tệ sang đồng Việt Nam trên Tờ khai xác nhận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Trường hợp Bên tài trợ đã quy định tỷ giá quy đổi cố định trong văn kiện dự án ký kết với Chính phủ Việt Nam: áp dụng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tỷ giá quy đổi đã thoả thuận với Bên tài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Trường hợp Bên tài trợ thông qua các ngân hàng thương mại, kể cả ngân hàng nước ngoài hoạt động tại Việt Nam, để chuyển đổi số ngoại tệ viện trợ ra đồng Việt Nam: áp dụng theo tỷ giá chuyển đổi thực tế do Ngân hàng phục vụ thông báo.</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Trường hợp Bên tài trợ chuyển trực tiếp bằng ngoại tệ cho dự án: áp dụng tỷ giá hạch toán ngoại tệ do Bộ Tài chính công bố hàng tháng trên Website Bộ Tài chính (http://www.mof.gov.vn).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 xml:space="preserve">đ) Để thuận lợi trong quá trình xử lý về thuế và hạch toán ngân sách nhà nước đối với nguồn viện trợ nước ngoài, mục khai về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trên Tờ khai xác nhận viện trợ cần bảo đảm các yêu cầu chính sau đây: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Khai đầy đủ, chính xác tên, địa chỉ liên hệ của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và cơ quan chủ quản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Khai mã số đơn vị có quan hệ với ngân sách của chủ dự án. Trong trường hợp các đơn vị sử dụng viện trợ là các doanh nghiệp, hoặc đơn vị sự nghiệp có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cần khai thêm mã số thuế để thuận lợi trong việc hoàn thuế.</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4" w:name="dieu_8"/>
      <w:proofErr w:type="gramStart"/>
      <w:r w:rsidRPr="00AD0F7B">
        <w:rPr>
          <w:rFonts w:ascii="Arial" w:eastAsia="Times New Roman" w:hAnsi="Arial" w:cs="Arial"/>
          <w:b/>
          <w:bCs/>
          <w:color w:val="000000"/>
          <w:sz w:val="20"/>
          <w:szCs w:val="20"/>
        </w:rPr>
        <w:t>Điều 8.</w:t>
      </w:r>
      <w:proofErr w:type="gramEnd"/>
      <w:r w:rsidRPr="00AD0F7B">
        <w:rPr>
          <w:rFonts w:ascii="Arial" w:eastAsia="Times New Roman" w:hAnsi="Arial" w:cs="Arial"/>
          <w:b/>
          <w:bCs/>
          <w:color w:val="000000"/>
          <w:sz w:val="20"/>
          <w:szCs w:val="20"/>
        </w:rPr>
        <w:t xml:space="preserve"> Mở tài khoản tiếp nhận tiền viện trợ</w:t>
      </w:r>
      <w:bookmarkEnd w:id="14"/>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được mở tài khoản tiền gửi viện trợ nước ngoài riêng cho từng dự án tại Kho bạc nhà nước nơi đăng ký giao dịch. Trường hợp Hiệp định hoặc Thoả thuận tài trợ có quy định mở tài khoản tại ngân hàng thương mại để phục vụ cho việc giải ngân, thanh toán chi trả (sau đây gọi </w:t>
      </w:r>
      <w:proofErr w:type="gramStart"/>
      <w:r w:rsidRPr="00AD0F7B">
        <w:rPr>
          <w:rFonts w:ascii="Arial" w:eastAsia="Times New Roman" w:hAnsi="Arial" w:cs="Arial"/>
          <w:color w:val="000000"/>
          <w:sz w:val="20"/>
          <w:szCs w:val="20"/>
        </w:rPr>
        <w:t>chung</w:t>
      </w:r>
      <w:proofErr w:type="gramEnd"/>
      <w:r w:rsidRPr="00AD0F7B">
        <w:rPr>
          <w:rFonts w:ascii="Arial" w:eastAsia="Times New Roman" w:hAnsi="Arial" w:cs="Arial"/>
          <w:color w:val="000000"/>
          <w:sz w:val="20"/>
          <w:szCs w:val="20"/>
        </w:rPr>
        <w:t xml:space="preserve"> là Ngân hàng phục vụ), thì chủ dự án được mở tài khoản tại Ngân hàng phục vụ.</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2. Sau khi mở tài khoản tiếp nhận tiền viện trợ, chủ dự án có trách nhiệm báo cáo cho cơ quan chủ quản và cơ quan Tài chính đồng cấp việc mở các tài khoản nói trên, để phối hợp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và quản lý.</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Nghiêm cấm việc dùng tài khoản cá nhân, thuê mượn hoặc nhờ tài khoản của cơ quan, đơn vị khác, hoặc mở tài khoản tại nước ngoài để tiếp nhận nguồn vốn viện trợ nước ngoài tài trợ cho các dự án. Các trường hợp </w:t>
      </w:r>
      <w:proofErr w:type="gramStart"/>
      <w:r w:rsidRPr="00AD0F7B">
        <w:rPr>
          <w:rFonts w:ascii="Arial" w:eastAsia="Times New Roman" w:hAnsi="Arial" w:cs="Arial"/>
          <w:color w:val="000000"/>
          <w:sz w:val="20"/>
          <w:szCs w:val="20"/>
        </w:rPr>
        <w:t>vi</w:t>
      </w:r>
      <w:proofErr w:type="gramEnd"/>
      <w:r w:rsidRPr="00AD0F7B">
        <w:rPr>
          <w:rFonts w:ascii="Arial" w:eastAsia="Times New Roman" w:hAnsi="Arial" w:cs="Arial"/>
          <w:color w:val="000000"/>
          <w:sz w:val="20"/>
          <w:szCs w:val="20"/>
        </w:rPr>
        <w:t xml:space="preserve"> phạm nói trên sẽ bị xử lý theo quy định của pháp luật.</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5" w:name="dieu_9"/>
      <w:proofErr w:type="gramStart"/>
      <w:r w:rsidRPr="00AD0F7B">
        <w:rPr>
          <w:rFonts w:ascii="Arial" w:eastAsia="Times New Roman" w:hAnsi="Arial" w:cs="Arial"/>
          <w:b/>
          <w:bCs/>
          <w:color w:val="000000"/>
          <w:sz w:val="20"/>
          <w:szCs w:val="20"/>
        </w:rPr>
        <w:t>Điều 9.</w:t>
      </w:r>
      <w:proofErr w:type="gramEnd"/>
      <w:r w:rsidRPr="00AD0F7B">
        <w:rPr>
          <w:rFonts w:ascii="Arial" w:eastAsia="Times New Roman" w:hAnsi="Arial" w:cs="Arial"/>
          <w:b/>
          <w:bCs/>
          <w:color w:val="000000"/>
          <w:sz w:val="20"/>
          <w:szCs w:val="20"/>
        </w:rPr>
        <w:t xml:space="preserve"> Giải ngân nguồn vốn viện trợ</w:t>
      </w:r>
      <w:bookmarkEnd w:id="15"/>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Đối với các khoản viện trợ bằng tiền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phương thức hỗ trợ trực tiếp vào NSNN: Số ngoại tệ viện trợ chuyển vào Quỹ ngoại tệ tập trung của NSNN. Việc bán ngoại tệ cho Ngân hàng Nhà nước được thực hiện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kế hoạch bán ngoại tệ được Bộ Tài chính phê duyệt.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2. Đối với các khoản tiền viện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phương thức hỗ trợ tiếp cận theo ngành, lĩnh vực: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Trường hợp Hiệp định hoặc Thoả thuận tài trợ không có quy định về việc giải ngân qua Ngân hàng phục vụ, số ngoại tệ được chuyển vào Quỹ ngoại tệ tập trung của NSNN theo quy định tại khoản 1 Điều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Trường hợp Hiệp định hoặc Thoả thuận tài trợ có quy định việc giải ngân qua Ngân hàng phục vụ, số ngoại tệ viện trợ được chuyển vào tài khoản của Bộ Tài chính (hoặc của chủ dự án) tại Ngân hàng phục vụ.</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3. Đối với các khoản viện trợ theo phương thức bằng tiền khác không thuộc các trường hợp quy định tại các khoản 1 và 2 Điều này, căn cứ vào Hiệp định hoặc Thoả thuận tài trợ và Sổ tay hướng dẫn giải ngân của Bên tài trợ (nếu có), Bộ Tài chính sẽ có hướng dẫn cụ thể trên cơ sở đề nghị của cơ quan chủ quản và chủ dự án.</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6" w:name="dieu_10"/>
      <w:proofErr w:type="gramStart"/>
      <w:r w:rsidRPr="00AD0F7B">
        <w:rPr>
          <w:rFonts w:ascii="Arial" w:eastAsia="Times New Roman" w:hAnsi="Arial" w:cs="Arial"/>
          <w:b/>
          <w:bCs/>
          <w:color w:val="000000"/>
          <w:sz w:val="20"/>
          <w:szCs w:val="20"/>
        </w:rPr>
        <w:t>Điều 10.</w:t>
      </w:r>
      <w:proofErr w:type="gramEnd"/>
      <w:r w:rsidRPr="00AD0F7B">
        <w:rPr>
          <w:rFonts w:ascii="Arial" w:eastAsia="Times New Roman" w:hAnsi="Arial" w:cs="Arial"/>
          <w:b/>
          <w:bCs/>
          <w:color w:val="000000"/>
          <w:sz w:val="20"/>
          <w:szCs w:val="20"/>
        </w:rPr>
        <w:t xml:space="preserve"> Thực hiện hạch toán </w:t>
      </w:r>
      <w:proofErr w:type="gramStart"/>
      <w:r w:rsidRPr="00AD0F7B">
        <w:rPr>
          <w:rFonts w:ascii="Arial" w:eastAsia="Times New Roman" w:hAnsi="Arial" w:cs="Arial"/>
          <w:b/>
          <w:bCs/>
          <w:color w:val="000000"/>
          <w:sz w:val="20"/>
          <w:szCs w:val="20"/>
        </w:rPr>
        <w:t>thu</w:t>
      </w:r>
      <w:proofErr w:type="gramEnd"/>
      <w:r w:rsidRPr="00AD0F7B">
        <w:rPr>
          <w:rFonts w:ascii="Arial" w:eastAsia="Times New Roman" w:hAnsi="Arial" w:cs="Arial"/>
          <w:b/>
          <w:bCs/>
          <w:color w:val="000000"/>
          <w:sz w:val="20"/>
          <w:szCs w:val="20"/>
        </w:rPr>
        <w:t>, chi NSNN đối với nguồn viện trợ nước ngoài</w:t>
      </w:r>
      <w:bookmarkEnd w:id="16"/>
      <w:r w:rsidRPr="00AD0F7B">
        <w:rPr>
          <w:rFonts w:ascii="Arial" w:eastAsia="Times New Roman" w:hAnsi="Arial" w:cs="Arial"/>
          <w:b/>
          <w:bCs/>
          <w:color w:val="000000"/>
          <w:sz w:val="20"/>
          <w:szCs w:val="20"/>
        </w:rPr>
        <w: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Đối với khoản viện trợ bằng tiền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hình thức hỗ trợ trực tiếp vào NSNN (quy định tại khoản 1 Điều 9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Hạch toán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NSNN: Căn cứ vào chứng từ chuyển tiền, Kho bạc nhà nước thực hiện hạch toán thu NSNN theo quy định (trường hợp chuyển tiền bằng ngoại tệ được hạch toán theo quy định đối với các khoản thu NSNN bằng ngoại tệ).</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Hạch toán chi NSNN: Căn cứ vào Hiệp định hoặc Thoả thuận tài trợ và dự toán được giao, Kho bạc nhà nước thực hiện thanh toán, chi trả, kiểm soát chi và hạch toán chi NSNN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như đối với nguồn vốn trong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2. Đối với các khoản viện trợ bằng tiền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phương thức hỗ trợ tiếp cận theo ngành, lĩnh vực (quy định tại khoản 2, Điều 9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Trường hợp giải ngân bằng ngoại tệ trực tiếp vào NSNN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điểm a khoản 2 Điều 9 Thông tư này): thực hiện thu, chi ngân sách theo quy định tại khoản 1 Điều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b) Trường hợp giải ngân qua tài khoản đặc biệt mở tại Ngân hàng phục vụ do Bộ Tài chính (Cục Quản lý nợ và Tài chính đối ngoại) làm chủ tài khoản: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Căn cứ yêu cầu chi của chủ dự án, Bộ Tài chính làm thủ tục rút tiền từ tài khoản đặc biệt để chuyển vào tài khoản của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mở tại Kho bạc nhà nước nơi giao dịch.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Kho bạc nhà nước thực hiện kiểm soát chi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như đối với nguồn vốn trong nước. Trường hợp Hiệp định hoặc Thoả thuận tài trợ có quy định khác thì thực hiện kiểm soát chi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của Hiệp định hoặc Thoả thuận tài trợ đó.</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Hạch toán NSNN đối với các khoản viện trợ thuộc nguồn thu NSTW: Căn cứ chứng từ chuyển tiền từ tài khoản đặc biệt của Bộ Tài chính cho chủ dự án, Bộ Tài chính lập Lệnh ghi thu ghi chi ngân sách (Mẫu C2-13/NS) gửi Kho bạc nhà nước để hạch toán chi tạm ứng cho dự án. Trong vòng năm (05) ngày làm việc kể từ ngày nhận được Lệnh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ghi chi NSNN, các cơ quan chủ quản có trách nhiệm thông báo lại ngay cho các chủ dự án để theo dõi thanh toán tạm ứng sau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Hàng quý, chủ dự án lập Báo cáo sử dụng vốn viện trợ (có xác nhận của Kho bạc nhà nước về số liệu kiểm soát chi) gửi Bộ Tài chính để lập Giấy đề nghị thanh toán tạm ứng vốn viện trợ đã ghi thu ghi chi (Mẫu C2-14/NS) gửi Kho bạc nhà nước để hạch toán chuyển từ tạm ứng sang thực chi. Trong vòng năm (05) ngày làm việc kể từ ngày nhận được Giấy đề nghị thanh toán tạm ứng vốn viện trợ đã ghi thu, ghi chi (Mẫu C2-14/NS), cơ quan chủ quản có trách nhiệm thông báo lại ngay cho các chủ dự án để theo dõi quyết toán sử dụng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Hạch toán NSNN đối với các khoản viện trợ thuộc nguồn thu NSTW chi bổ sung có mục tiêu cho NSĐP: Căn cứ chứng từ chuyển tiền từ tài khoản đặc biệt của Bộ Tài chính cho chủ dự án, Bộ Tài chính lập Lệnh ghi thu ghi chi ngân sách (Mẫu C2-13/NS) gửi Kho bạc nhà nước để hạch toán ghi thu NSNN và ghi chi bổ sung có mục tiêu cho NSĐP. Sở Tài chính và Kho bạc nhà nước địa phương phối hợp thực hiện hạch toán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NSĐP và ghi chi tạm ứng cho dự án. Hàng quý, chủ dự án lập Báo cáo sử dụng vốn viện trợ (có xác nhận của Kho bạc nhà nước về số liệu kiểm soát chi) gửi Sở Tài chính để lập Giấy đề nghị thanh toán tạm ứng vốn viện trợ đã ghi thu ghi chi (Mẫu C2-14/NS) gửi Kho bạc nhà nước địa phương để hạch toán chuyển từ tạm ứng sang thực chi.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Trường hợp giải ngân qua tài khoản của chủ dự án mở tại Ngân hàng phục vụ: Thực hiện việc kiểm soát và hạch toán NSNN như các khoản viện trợ bằng tiền trực tiếp cho các dự án do phía Việt Nam điều hành, được quy định cụ thể tại khoản 3 Điều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Hạch toán NSNN đối với các khoản viện trợ bằng tiền trực tiếp cho các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do phía Việt Nam điều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Đối với các khoản viện trợ bằng tiền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Hàng quý, Bộ Tài chính tổng hợp các Tờ khai xác nhận viện trợ bằng tiền trong quý theo từng cơ quan chủ quản, trên cơ sở đó lập Lệnh ghi thu ghi chi ngân sách (Mẫu C2-13/NS) gửi Kho bạc nhà nước để hạch toán chi tạm ứng (đối với viện trợ bằng tiền cho các cơ quan, đơn vị thuộc Trung ương); hoặc chi bổ sung có mục tiêu cho ngân sách địa phương (đối với viện trợ bằng tiền cho các cơ quan, đơn vị tại địa phương). Sau khi đã hạch toán ngân sách, Bộ Tài chính sẽ gửi một (01) bản Lệnh ghi thu ghi chi ngân sách nói trên, kèm theo Bảng kê chi tiết các Tờ khai xác nhận viện trợ bằng tiền có liên quan đã ghi tạm ứng hoặc chi bổ sung có mục tiêu cho ngân sách địa phương theo từng dự án viện trợ, cho các cơ quan chủ quản tại Trung ương để theo dõi và quyết toán hoàn vốn tạm ứng, hoặc gửi cho Sở Tài chính để hạch toán thu ngân sách địa phương và chi tạm ứng cho chủ dự án tại địa phương. Trong vòng năm (05) ngày làm việc kể từ ngày nhận được Lệnh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ghi chi NSNN, các cơ quan chủ quản có trách nhiệm thông báo lại ngay cho các chủ dự án để theo dõi thanh toán tạm ứng sau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Định kỳ hàng quý, chủ dự án gửi báo cáo thanh toán tạm ứng đối với các khoản viện trợ bằng tiền trong quý gửi cho cơ quan chủ quản là các đơn vị dự toán cấp I tại Trung ương và địa phương để kiểm tra và tổng hợp gửi Bộ Tài chính (hoặc Sở Tài chính) để lập Giấy đề nghị thanh toán tạm ứng vốn viện trợ đã ghi thu, ghi chi (Mẫu C2-14/NS) chi tiết cho từng dự án, gửi Kho bạc nhà nước để hạch toán từ tạm ứng sang thực chi, sau đó gửi một (01) bản Giấy đề nghị thanh toán tạm ứng vốn viện trợ đã ghi thu, ghi chi cho cơ quan chủ quản. Trong vòng năm (05) ngày làm việc kể từ ngày nhận được Giấy đề nghị thanh </w:t>
      </w:r>
      <w:r w:rsidRPr="00AD0F7B">
        <w:rPr>
          <w:rFonts w:ascii="Arial" w:eastAsia="Times New Roman" w:hAnsi="Arial" w:cs="Arial"/>
          <w:color w:val="000000"/>
          <w:sz w:val="20"/>
          <w:szCs w:val="20"/>
        </w:rPr>
        <w:lastRenderedPageBreak/>
        <w:t xml:space="preserve">toán tạm ứng vốn viện trợ đã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ghi chi (Mẫu C2-14/NS), cơ quan chủ quản có trách nhiệm thông báo lại ngay cho các chủ dự án để theo dõi quyết toán sử dụng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Cơ quan chủ quản chịu trách nhiệm kiểm tra tính chính xác, hợp lệ trên các báo cáo thanh toán tạm ứng của các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thuộc và trực thuộc.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Thời hạn thanh toán hoàn vốn tạm ứng đối với các khoản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NSNN, ghi chi tạm ứng cho chủ dự án hàng năm không được chậm hơn thời hạn chỉnh lý quyết toán NSNN theo quy định hiện hành. Trường hợp phải kéo dài thời hạn thanh toán hoàn vốn tạm ứng do Bộ trưởng Bộ Tài chính xem xét, quyết định.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Kết thúc thời hạn chỉnh lý NSNN, số dư vốn viện trợ bằng tiền đã ghi thu ngân sách, ghi chi tạm ứng cho chủ dự án, nhưng chưa thanh toán tạm ứng hoặc chưa được sử dụng sẽ được chuyển sang năm sau thanh toán tạm ứng theo chế độ quy định hoặc được sử dụng tiếp theo quy định của Bên tài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Đối với các khoản viện trợ bằng tiền thuộc nguồn thu ngân sách địa phương: Sở Tài chính phối hợp với Kho bạc nhà nước tỉnh và các cơ quan chủ quản dự án thực hiện việc hạch toán thu, chi ngân sách địa phương đối với viện trợ bằng tiền thuộc nguồn thu ngân sách địa phương, theo quy trình tương tự như viện trợ bằng tiền thuộc nguồn thu ngân sách trung ương quy định tại điểm a khoản 3 Điều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4. Hạch toán NSNN đối với viện trợ bằng hiện vật là các hàng hoá, vật tư, thiết bị lẻ:</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Đối với viện trợ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Hàng quý, căn cứ vào Tờ khai xác nhận viện trợ được tổng hợp theo Mục lục NSNN, Bộ Tài chính lập Lệnh ghi thu ghi chi ngân sách gửi Kho bạc nhà nước để hạch toán chi cho dự án (đối với viện trợ cho các chủ dự án thuộc Trung ương quản lý), hoặc chi bổ sung có mục tiêu cho địa phương (đối với viện trợ cho các chủ dự án thuộc địa phương quản lý).</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Đối với viện trợ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Hàng quý, căn cứ vào Tờ khai xác nhận viện trợ được tổng hợp theo mục lục NSNN, Sở Tài chính lập Lệnh ghi thu ngân sách địa phương, ghi chi cho dự án và chuyển cho Kho bạc nhà nước tỉnh để hạch toán ghi thu, ghi chi ngân sách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Quy định về hạch toán NSNN nêu tại các điểm a và b trên đây chỉ áp dụng đối với hàng nhập khẩu hoặc hàng mua trong nước do Bên tài trợ trực tiếp mua sắm và chuyển giao cho phía Việt Nam. Đối với hàng hoá, vật tư, thiết bị lẻ được chủ dự án nhập khẩu hay mua trong nước từ nguồn viện trợ bằng tiền, khi kê khai xác nhận viện trợ, chủ dự án cần đánh dấu vào mục “đề nghị cơ quan Tài chính không hạch toán NSNN đối với Tờ khai XNVT này, với lý do đã được XNVT bằng tiền” tại mặt sau Tờ khai xác nhận viện trợ, để cơ quan Tài chính không hạch toán trùng lắp các khoản viện trợ bằng hiện vật và bằng tiền liên quan.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5. Hạch toán NSNN đối với viện trợ bằng hiện vật sử dụng cho công trình xây dựng cơ bản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hình thức viện trợ “chìa khoá trao tay”:</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Hàng quý, cơ quan Tài chính sẽ tổng hợp các Tờ khai xác nhận viện trợ bằng hàng hoá, thiết bị lẻ hoặc bằng tiền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từng công trình, trên cơ sở đó lập Lệnh ghi thu ghi chi ngân sách gửi Kho bạc nhà nước để hạch toán chi tạm ứng cho công trình. Sau khi Kho bạc nhà nước đã hạch toán ngân sách, cơ quan Tài chính gửi bản sao Lệnh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ghi chi ngân sách nói trên, kèm theo Bảng kê chi tiết các Tờ khai xác nhận viện trợ đã ghi chi tạm ứng có liên quan cho cơ quan chủ quản để theo dõi và quyết toán. Sau khi công trình hoàn thành và bàn giao cho phía Việt Nam, chủ dự án tập hợp các Tờ khai xác nhận viện trợ và các tài liệu, chứng từ liên quan khác đến xây dựng công trình để lập “Báo cáo quyết toán dự án hoàn thành”, quy định tại Thông tư số </w:t>
      </w:r>
      <w:hyperlink r:id="rId18" w:tgtFrame="_blank" w:tooltip="Thông tư 33/2007/TT-BTC" w:history="1">
        <w:r w:rsidRPr="00AD0F7B">
          <w:rPr>
            <w:rFonts w:ascii="Arial" w:eastAsia="Times New Roman" w:hAnsi="Arial" w:cs="Arial"/>
            <w:color w:val="0E70C3"/>
            <w:sz w:val="20"/>
            <w:szCs w:val="20"/>
          </w:rPr>
          <w:t>33/2007/TT-BTC</w:t>
        </w:r>
      </w:hyperlink>
      <w:r w:rsidRPr="00AD0F7B">
        <w:rPr>
          <w:rFonts w:ascii="Arial" w:eastAsia="Times New Roman" w:hAnsi="Arial" w:cs="Arial"/>
          <w:color w:val="000000"/>
          <w:sz w:val="20"/>
          <w:szCs w:val="20"/>
        </w:rPr>
        <w:t> ngày 9/4/2007 của Bộ Tài chính hướng dẫn quyết toán dự án hoàn thành thuộc nguồn vốn Nhà nước và Thông tư số </w:t>
      </w:r>
      <w:hyperlink r:id="rId19" w:tgtFrame="_blank" w:tooltip="Thông tư 98/2007/TT-BTC" w:history="1">
        <w:r w:rsidRPr="00AD0F7B">
          <w:rPr>
            <w:rFonts w:ascii="Arial" w:eastAsia="Times New Roman" w:hAnsi="Arial" w:cs="Arial"/>
            <w:color w:val="0E70C3"/>
            <w:sz w:val="20"/>
            <w:szCs w:val="20"/>
          </w:rPr>
          <w:t>98/2007/TT-BTC</w:t>
        </w:r>
      </w:hyperlink>
      <w:r w:rsidRPr="00AD0F7B">
        <w:rPr>
          <w:rFonts w:ascii="Arial" w:eastAsia="Times New Roman" w:hAnsi="Arial" w:cs="Arial"/>
          <w:color w:val="000000"/>
          <w:sz w:val="20"/>
          <w:szCs w:val="20"/>
        </w:rPr>
        <w:t> ngày 9/8/2007 của Bộ Tài chính hướng dẫn sửa đổi, bổ sung một số điểm của Thông tư số </w:t>
      </w:r>
      <w:hyperlink r:id="rId20" w:tgtFrame="_blank" w:tooltip="Thông tư 33/2007/TT-BTC" w:history="1">
        <w:r w:rsidRPr="00AD0F7B">
          <w:rPr>
            <w:rFonts w:ascii="Arial" w:eastAsia="Times New Roman" w:hAnsi="Arial" w:cs="Arial"/>
            <w:color w:val="0E70C3"/>
            <w:sz w:val="20"/>
            <w:szCs w:val="20"/>
          </w:rPr>
          <w:t>33/2007/TT-BTC</w:t>
        </w:r>
      </w:hyperlink>
      <w:r w:rsidRPr="00AD0F7B">
        <w:rPr>
          <w:rFonts w:ascii="Arial" w:eastAsia="Times New Roman" w:hAnsi="Arial" w:cs="Arial"/>
          <w:color w:val="000000"/>
          <w:sz w:val="20"/>
          <w:szCs w:val="20"/>
        </w:rPr>
        <w:t> ngày 9/4/2007, gửi cho cơ quan chủ quản và cơ quan Tài chính cùng cấp để thực hiện hạch toán NSNN (thu hồi tạm ứng) theo giá trị công trình viện trợ đã nhận bàn giao.</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6. Hạch toán NSNN đối với viện trợ bằng hiện vật cho các doanh nghiệp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Đối với viện trợ bằng hiện vật là các vật tư tiêu hao trong quá trình sản xuất kinh doanh của doanh nghiệp nhà nước (nguyên, nhiên, vật liệu và vật rẻ tiền mau hỏng): Doanh nghiệp được hạch toán vào </w:t>
      </w:r>
      <w:r w:rsidRPr="00AD0F7B">
        <w:rPr>
          <w:rFonts w:ascii="Arial" w:eastAsia="Times New Roman" w:hAnsi="Arial" w:cs="Arial"/>
          <w:color w:val="000000"/>
          <w:sz w:val="20"/>
          <w:szCs w:val="20"/>
        </w:rPr>
        <w:lastRenderedPageBreak/>
        <w:t xml:space="preserve">“thu nhập khác” của doanh nghiệp theo giá thị trường vào thời điểm tiếp nhận, trên cơ sở đó tính vào lợi nhuận của doanh nghiệp và thực hiện các nghĩa vụ thuế đối với nhà nước. Cơ quan Tài chính không hạch toán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ghi chi NSNN các khoản viện trợ nói trên.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Đối với viện trợ bằng hiện vật hình thành tài sản cố định của doanh nghiệp nhà nước: Hạch toán ngân sách cấp vốn cho doanh nghiệp nhà nước được tiếp nhận và sử dụng tài sản cố định đó. Trường hợp doanh nghiệp này trực thuộc các Tổng công ty nhà nước hoặc Tập đoàn kinh tế nhà nước hoạt động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mô hình công ty mẹ - con, việc hạch toán ngân sách cấp vốn sẽ được thực hiện thông qua công ty mẹ là doanh nghiệp mà nhà nước sở hữu 100 % vốn điều lệ.</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Đối với viện trợ bằng hiện vật hình thành tài sản cố định của doanh nghiệp cổ phần: hạch toán ngân sách nhà nước “chi hỗ trợ doanh nghiệp”. Hội đồng quản trị của doanh nghiệp cổ phần chịu trách nhiệm sử dụng và quản lý các tài sản này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đúng mục đích cam kết, thoả thuận với Bên tài trợ và theo quy định của pháp luật hiện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7. Trong trường hợp đơn vị thụ hưởng viện trợ là các tổ chức, đơn vị, cá nhân tại các địa phương không có quan hệ với ngân sách nhà nước (các quỹ xã hội, quỹ từ thiện, cơ sở bảo trợ xã hội, cơ sở cung ứng dịch vụ ngoài công lập, cơ sở tôn giáo) được tiếp nhận ODA không hoàn lại thông qua các hiệp định, thoả thuận ODA không hoàn lại ký giữa Chính phủ và Bên tài trợ (viện trợ nước ngoài thuộc nguồn thu ngân sách trung ương, theo quy định tại khoản 5 Điều 1 Thông tư này): Bộ Tài chính ghi thu ngân sách trung ương và ghi chi bổ sung có mục tiêu cho ngân sách địa phương (ngân sách cấp tỉnh). Tuỳ theo từng đối tượng tiếp nhận viện trợ cụ thể, UBND cấp tỉnh giao trách nhiệm cho các cơ quan chuyên môn, các tổ chức sự nghiệp trực thuộc trong việc quản lý việc sử dụng đúng mục đích và có hiệu quả tiền, hàng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UBND cấp tỉnh có trách nhiệm chỉ đạo các cơ quan trực thuộc quản lý trực tiếp các đơn vị thụ hưởng viện trợ thuộc địa phương quản lý và cấp giấy phép hoạt động, bảo đảm sử dụng tiền, </w:t>
      </w:r>
      <w:proofErr w:type="gramStart"/>
      <w:r w:rsidRPr="00AD0F7B">
        <w:rPr>
          <w:rFonts w:ascii="Arial" w:eastAsia="Times New Roman" w:hAnsi="Arial" w:cs="Arial"/>
          <w:color w:val="000000"/>
          <w:sz w:val="20"/>
          <w:szCs w:val="20"/>
        </w:rPr>
        <w:t>hàng</w:t>
      </w:r>
      <w:proofErr w:type="gramEnd"/>
      <w:r w:rsidRPr="00AD0F7B">
        <w:rPr>
          <w:rFonts w:ascii="Arial" w:eastAsia="Times New Roman" w:hAnsi="Arial" w:cs="Arial"/>
          <w:color w:val="000000"/>
          <w:sz w:val="20"/>
          <w:szCs w:val="20"/>
        </w:rPr>
        <w:t xml:space="preserve"> viện trợ đúng mục đích và tuân thủ các quy định của pháp luật. Trường hợp phát hiện ra </w:t>
      </w:r>
      <w:proofErr w:type="gramStart"/>
      <w:r w:rsidRPr="00AD0F7B">
        <w:rPr>
          <w:rFonts w:ascii="Arial" w:eastAsia="Times New Roman" w:hAnsi="Arial" w:cs="Arial"/>
          <w:color w:val="000000"/>
          <w:sz w:val="20"/>
          <w:szCs w:val="20"/>
        </w:rPr>
        <w:t>vi</w:t>
      </w:r>
      <w:proofErr w:type="gramEnd"/>
      <w:r w:rsidRPr="00AD0F7B">
        <w:rPr>
          <w:rFonts w:ascii="Arial" w:eastAsia="Times New Roman" w:hAnsi="Arial" w:cs="Arial"/>
          <w:color w:val="000000"/>
          <w:sz w:val="20"/>
          <w:szCs w:val="20"/>
        </w:rPr>
        <w:t xml:space="preserve"> phạm, UBND cấp tỉnh có biện pháp xử lý kịp thời các vi phạm, đồng thời báo cáo ngay cho các cơ quan quản lý nhà nước về viện trợ nước ngoài có liên quan để phối hợp theo dõi và tăng cường quản lý.</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7" w:name="dieu_11"/>
      <w:proofErr w:type="gramStart"/>
      <w:r w:rsidRPr="00AD0F7B">
        <w:rPr>
          <w:rFonts w:ascii="Arial" w:eastAsia="Times New Roman" w:hAnsi="Arial" w:cs="Arial"/>
          <w:b/>
          <w:bCs/>
          <w:color w:val="000000"/>
          <w:sz w:val="20"/>
          <w:szCs w:val="20"/>
        </w:rPr>
        <w:t>Điều 11.</w:t>
      </w:r>
      <w:proofErr w:type="gramEnd"/>
      <w:r w:rsidRPr="00AD0F7B">
        <w:rPr>
          <w:rFonts w:ascii="Arial" w:eastAsia="Times New Roman" w:hAnsi="Arial" w:cs="Arial"/>
          <w:b/>
          <w:bCs/>
          <w:color w:val="000000"/>
          <w:sz w:val="20"/>
          <w:szCs w:val="20"/>
        </w:rPr>
        <w:t xml:space="preserve"> Điều chỉnh hạch toán NSNN</w:t>
      </w:r>
      <w:bookmarkEnd w:id="17"/>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Điều chỉnh số liệu hạch toán ngân sách nhà nước được tiến hành thường xuyên trong năm ngân sách nhằm xử lý chênh lệch giữa số liệu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ghi chi NSNN với quyết toán thực tế sử dụng viện trợ nước ngoài, có thể phát sinh trong những trường hợp cụ thể sau:</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Tài sản, hàng hoá, tiền viện trợ qua kiểm kê, đánh giá lại có phát sinh thừa, thiếu về số lượng, hoặc tăng giảm về giá trị so với số liệu đã xác nhận viện trợ và hạch toán NSNN (bao gồm cả trường hợp điều chỉnh lại giá mua bằng ngoại tệ thực tế theo hoá đơn hàng nhập khẩu đã kê khai trên Tờ khai xác nhận viện trợ theo mẫu C1-HD/XNVT cho phù hợp với mặt bằng giá cả thị trường trong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Tiền viện trợ không sử dụng hết hoàn trả lại cho Bên tài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Các khoản tiền, hàng viện trợ đã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nhà nước năm trước, nhưng được chuyển sang sử dụng cho năm sau hoặc được trừ vào ngân sách của năm sau (theo thiết kế của dự án hoặc theo thoả thuận với Bên tài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d) Cơ quan nhà nước có thẩm quyền quyết định thay đổi về cơ chế tài chính áp dụng (ví dụ quyết định cho chuyển từ cơ chế cho vay lại sang cấp phát từ NSNN)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Quy trình điều chỉnh: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Căn cứ vào các báo cáo quyết toán sử dụng vốn viện trợ thực tế và các quyết định điều chỉnh về số liệu, cơ chế tài chính của cơ quan nhà nước có thẩm quyền, cơ quan Tài chính các cấp tiến hành rà soát số liệu và lập các Phiếu điều chỉnh số liệu ngân sách gửi các chủ dự án và Kho bạc nhà nước để làm căn cứ hạch toán tăng, giảm số liệu ghi thu, ghi chi NSNN các cấp.</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Căn cứ vào phiếu điều chỉnh số liệu ngân sách, Kho bạc nhà nước thực hiện hạch toán điều chỉnh số liệu ngân sách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đúng các nội dung ghi trên Phiếu điều chỉnh. Căn cứ vào liên Phiếu điều chỉnh ngân </w:t>
      </w:r>
      <w:r w:rsidRPr="00AD0F7B">
        <w:rPr>
          <w:rFonts w:ascii="Arial" w:eastAsia="Times New Roman" w:hAnsi="Arial" w:cs="Arial"/>
          <w:color w:val="000000"/>
          <w:sz w:val="20"/>
          <w:szCs w:val="20"/>
        </w:rPr>
        <w:lastRenderedPageBreak/>
        <w:t xml:space="preserve">sách do Kho bạc nhà nước gửi,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thực hiện hạch toán để điều chỉnh lại báo cáo kế toán và quyết toán vốn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Điều chỉnh số dư tiền gửi viện trợ: Đối với số dư tài khoản tiền viện trợ đã ghi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năm trước và thuộc nhiệm vụ chi ngân sách năm trước nhưng chưa chi hết được chuyển sang năm sau tiếp tục sử dụng. Chủ dự án báo cáo với Kho bạc nhà nước nơi giao dịch (chi tiết theo Mục lục ngân sách nhà nước) để Kho bạc nhà nước tổng hợp theo đơn vị dự toán cấp I gửi cơ quan Tài chính cùng cấp làm thủ tục giảm chi năm trước và chuyển nguồn sang năm sau (trong thời hạn 45 ngày sau khi hết thời gian chỉnh lý quyết toán của từng cấp ngân sách).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4. Điều chỉnh hàng viện trợ tồn kho chưa sử dụng: Đối với hàng hoá, vật tư viện trợ tồn kho đã được quyết toán vào chi ngân sách năm trước, nếu còn sử dụng tiếp cho năm sau, thì chủ dự án tổ chức theo dõi, sử dụng đúng mục đích và có báo cáo riêng cho Kho bạc nhà nước nơi giao dịch và cơ quan Tài chính cùng cấp. </w:t>
      </w:r>
      <w:proofErr w:type="gramStart"/>
      <w:r w:rsidRPr="00AD0F7B">
        <w:rPr>
          <w:rFonts w:ascii="Arial" w:eastAsia="Times New Roman" w:hAnsi="Arial" w:cs="Arial"/>
          <w:color w:val="000000"/>
          <w:sz w:val="20"/>
          <w:szCs w:val="20"/>
        </w:rPr>
        <w:t>Không tiến hành điều chỉnh số liệu hạch toán ngân sách nhà nước trong trường hợp này.</w:t>
      </w:r>
      <w:proofErr w:type="gramEnd"/>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5. Thời hạn ghi thu, ghi chi và điều chỉnh số liệu ghi thu, ghi chi ngân sách nhà nước hàng năm được thực hiện theo quy định tại Thông tư số </w:t>
      </w:r>
      <w:hyperlink r:id="rId21" w:tgtFrame="_blank" w:tooltip="Thông tư 108/2008/TT-BTC" w:history="1">
        <w:r w:rsidRPr="00AD0F7B">
          <w:rPr>
            <w:rFonts w:ascii="Arial" w:eastAsia="Times New Roman" w:hAnsi="Arial" w:cs="Arial"/>
            <w:color w:val="0E70C3"/>
            <w:sz w:val="20"/>
            <w:szCs w:val="20"/>
          </w:rPr>
          <w:t>108/2008/TT-BTC</w:t>
        </w:r>
      </w:hyperlink>
      <w:r w:rsidRPr="00AD0F7B">
        <w:rPr>
          <w:rFonts w:ascii="Arial" w:eastAsia="Times New Roman" w:hAnsi="Arial" w:cs="Arial"/>
          <w:color w:val="000000"/>
          <w:sz w:val="20"/>
          <w:szCs w:val="20"/>
        </w:rPr>
        <w:t> ngày 18/11/2008 của Bộ Tài chính hướng dẫn xử lý ngân sách cuối năm và lập báo cáo quyết toán ngân sách nhà nước hàng năm.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Trong trường hợp phải điều chỉnh số liệu hạch toán ngân sách sau khi đã quyết toán ngân sách nhà nước hàng năm, các cơ quan chủ quản là các đơn vị dự toán ngân sách cấp I cần báo cáo cho Bộ Tài chính (đối với các khoản viện trợ thuộc nguồn thu ngân sách trung ương) hoặc Uỷ ban nhân dân cấp tỉnh (đối với các khoản viện trợ thuộc nguồn thu ngân sách địa phương) để xem xét và hướng dẫn xử lý cụ thể từng trường hợp.</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8" w:name="dieu_12"/>
      <w:proofErr w:type="gramStart"/>
      <w:r w:rsidRPr="00AD0F7B">
        <w:rPr>
          <w:rFonts w:ascii="Arial" w:eastAsia="Times New Roman" w:hAnsi="Arial" w:cs="Arial"/>
          <w:b/>
          <w:bCs/>
          <w:color w:val="000000"/>
          <w:sz w:val="20"/>
          <w:szCs w:val="20"/>
        </w:rPr>
        <w:t>Điều 12.</w:t>
      </w:r>
      <w:proofErr w:type="gramEnd"/>
      <w:r w:rsidRPr="00AD0F7B">
        <w:rPr>
          <w:rFonts w:ascii="Arial" w:eastAsia="Times New Roman" w:hAnsi="Arial" w:cs="Arial"/>
          <w:b/>
          <w:bCs/>
          <w:color w:val="000000"/>
          <w:sz w:val="20"/>
          <w:szCs w:val="20"/>
        </w:rPr>
        <w:t xml:space="preserve"> Chế độ mua sắm và định mức chi tiêu</w:t>
      </w:r>
      <w:bookmarkEnd w:id="18"/>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Chế độ mua sắm: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Cơ quan chủ quản,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phải tuân thủ nghiêm Luật đấu thầu và các quy định về mua sắm hiện hành của Việt Nam trong quá trình thực hiện các chương trình, dự án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Trong trường hợp Bên tài trợ yêu cầu áp dụng các quy định về mua sắm khác với luật pháp hiện hành của Việt Nam và được quy định trong các điều ước, thoả thuận quốc tế hoặc văn kiện dự án viện trợ, chủ dự án được áp dụng các quy định liên quan trong các tài liệu pháp lý này. Trong quá trình đàm phán điều ước, thoả thuận quốc tế về viện trợ, các cơ quan, đơn vị được uỷ quyền đàm phán cần báo cáo cho cơ quan chủ quản cấp trên và cơ quan Tài chính cùng cấp các quy định khác biệt nói trên, để có chỉ đạo kịp thời về biện pháp xử lý trước khi ký kết.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Cơ quan chủ quản phối hợp với cơ quan Tài chính cùng cấp hướng dẫn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việc thực hiện các quy định về mua sắm và định mức chi tiêu đối với các chương trình, dự án do Việt Nam điều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Định mức chi tiêu:</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Định mức chi tiêu nguồn vốn đối ứng: áp dụng định mức chi tiêu quy định tại Thông tư số </w:t>
      </w:r>
      <w:hyperlink r:id="rId22" w:tgtFrame="_blank" w:tooltip="Thông tư 219/2009/TT-BTC" w:history="1">
        <w:r w:rsidRPr="00AD0F7B">
          <w:rPr>
            <w:rFonts w:ascii="Arial" w:eastAsia="Times New Roman" w:hAnsi="Arial" w:cs="Arial"/>
            <w:color w:val="0E70C3"/>
            <w:sz w:val="20"/>
            <w:szCs w:val="20"/>
          </w:rPr>
          <w:t>219/2009/TT-BTC</w:t>
        </w:r>
      </w:hyperlink>
      <w:r w:rsidRPr="00AD0F7B">
        <w:rPr>
          <w:rFonts w:ascii="Arial" w:eastAsia="Times New Roman" w:hAnsi="Arial" w:cs="Arial"/>
          <w:color w:val="000000"/>
          <w:sz w:val="20"/>
          <w:szCs w:val="20"/>
        </w:rPr>
        <w:t> ngày 19/11/2009 của Bộ Tài chính quy định một số định mức chi tiêu áp dụng cho các dự án sử dụng nguồn vốn hỗ trợ phát triển chính thức (ODA).</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Định mức chi tiêu nguồn vốn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Việc chi tiêu từ nguồn vốn viện trợ áp dụng các định mức chi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của nhà tài trợ, hoặc được ghi trong các điều ước, thoả thuận quốc tế hoặc văn kiện dự án viện trợ.</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Đối với các khoản chi đặc thù, trường hợp Bên tài trợ chưa có quy định, trong các điều ước, thoả thuận quốc tế hoặc văn kiện dự án không có quy định về định mức chi và cũng chưa được quy định tại Thông tư số </w:t>
      </w:r>
      <w:hyperlink r:id="rId23" w:tgtFrame="_blank" w:tooltip="Thông tư 219/2009/TT-BTC" w:history="1">
        <w:r w:rsidRPr="00AD0F7B">
          <w:rPr>
            <w:rFonts w:ascii="Arial" w:eastAsia="Times New Roman" w:hAnsi="Arial" w:cs="Arial"/>
            <w:color w:val="0E70C3"/>
            <w:sz w:val="20"/>
            <w:szCs w:val="20"/>
          </w:rPr>
          <w:t>219/2009/TT-BTC</w:t>
        </w:r>
      </w:hyperlink>
      <w:r w:rsidRPr="00AD0F7B">
        <w:rPr>
          <w:rFonts w:ascii="Arial" w:eastAsia="Times New Roman" w:hAnsi="Arial" w:cs="Arial"/>
          <w:color w:val="000000"/>
          <w:sz w:val="20"/>
          <w:szCs w:val="20"/>
        </w:rPr>
        <w:t> ngày 19/11/2009 của Bộ Tài chính, thì cơ quan chủ quản phối hợp với Bên tài trợ xây dựng định mức chi tiêu và thống nhất với Bộ Tài chính trước khi thực hiện.</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19" w:name="dieu_13"/>
      <w:proofErr w:type="gramStart"/>
      <w:r w:rsidRPr="00AD0F7B">
        <w:rPr>
          <w:rFonts w:ascii="Arial" w:eastAsia="Times New Roman" w:hAnsi="Arial" w:cs="Arial"/>
          <w:b/>
          <w:bCs/>
          <w:color w:val="000000"/>
          <w:sz w:val="20"/>
          <w:szCs w:val="20"/>
        </w:rPr>
        <w:t>Điều 13.</w:t>
      </w:r>
      <w:proofErr w:type="gramEnd"/>
      <w:r w:rsidRPr="00AD0F7B">
        <w:rPr>
          <w:rFonts w:ascii="Arial" w:eastAsia="Times New Roman" w:hAnsi="Arial" w:cs="Arial"/>
          <w:b/>
          <w:bCs/>
          <w:color w:val="000000"/>
          <w:sz w:val="20"/>
          <w:szCs w:val="20"/>
        </w:rPr>
        <w:t xml:space="preserve"> Kế toán và quyết toán</w:t>
      </w:r>
      <w:bookmarkEnd w:id="19"/>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Chủ dự án phải tổ chức bộ máy kế toán, bổ nhiệm kế toán trưởng hoặc bố trí phụ trách kế toán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của pháp luật hiện hành về kế toán và hạch toán kế toán quá trình tiếp nhận và sử dụng vốn </w:t>
      </w:r>
      <w:r w:rsidRPr="00AD0F7B">
        <w:rPr>
          <w:rFonts w:ascii="Arial" w:eastAsia="Times New Roman" w:hAnsi="Arial" w:cs="Arial"/>
          <w:color w:val="000000"/>
          <w:sz w:val="20"/>
          <w:szCs w:val="20"/>
        </w:rPr>
        <w:lastRenderedPageBreak/>
        <w:t xml:space="preserve">viện trợ theo Chế độ kế toán hiện hành của Việt Nam. Kế toán phải mở sổ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chi tiết theo từng chương trình, dự án viện trợ và theo từng nguồn vốn (vốn viện trợ, vốn đối ứng) và theo các khoản mục chi trong dự toán được phê duyệt. Không được hạch toán kế toán kinh phí viện trợ </w:t>
      </w:r>
      <w:proofErr w:type="gramStart"/>
      <w:r w:rsidRPr="00AD0F7B">
        <w:rPr>
          <w:rFonts w:ascii="Arial" w:eastAsia="Times New Roman" w:hAnsi="Arial" w:cs="Arial"/>
          <w:color w:val="000000"/>
          <w:sz w:val="20"/>
          <w:szCs w:val="20"/>
        </w:rPr>
        <w:t>chung</w:t>
      </w:r>
      <w:proofErr w:type="gramEnd"/>
      <w:r w:rsidRPr="00AD0F7B">
        <w:rPr>
          <w:rFonts w:ascii="Arial" w:eastAsia="Times New Roman" w:hAnsi="Arial" w:cs="Arial"/>
          <w:color w:val="000000"/>
          <w:sz w:val="20"/>
          <w:szCs w:val="20"/>
        </w:rPr>
        <w:t xml:space="preserve"> vào tài khoản kinh phí hành chính sự nghiệp của ngân sách cấp cho cơ quan, đơn vị mình.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Trong trường hợp Bên tài trợ có các yêu cầu về sử dụng hệ thống kế toán khác với hệ thống kế toán hiện hành của Việt Nam, hoặc có yêu cầu chuyển đổi từ hệ thống kế toán khác sang hệ thống kế toán hiện hành của Việt Nam, chủ dự án cần báo cáo ngay cho cơ quan chủ quản và Bộ Tài chính biết để hướng dẫn thực hiện phù hợp với quy định hiện hành của Việt Nam.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3. Đối với các dự án có yêu cầu phải lập các báo cáo tài chính theo mẫu của Bên tài trợ, chủ dự án phải mở thêm sổ kế toán hoặc sử dụng phần mềm kế toán thích hợp để vừa có thể báo cáo theo yêu cầu của chế độ kế toán Việt Nam và yêu cầu của Bên tài trợ.</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Đối với các dự án do yêu cầu bắt buộc phải nộp chứng từ (bản gốc) cho Bên tài trợ, chủ dự án thực hiện sao chụp lại chứng từ kế toán theo quy định tại </w:t>
      </w:r>
      <w:bookmarkStart w:id="20" w:name="dc_2"/>
      <w:r w:rsidRPr="00AD0F7B">
        <w:rPr>
          <w:rFonts w:ascii="Arial" w:eastAsia="Times New Roman" w:hAnsi="Arial" w:cs="Arial"/>
          <w:color w:val="000000"/>
          <w:sz w:val="20"/>
          <w:szCs w:val="20"/>
        </w:rPr>
        <w:t>Điều 18 Nghị định số </w:t>
      </w:r>
      <w:bookmarkEnd w:id="20"/>
      <w:r w:rsidRPr="00AD0F7B">
        <w:rPr>
          <w:rFonts w:ascii="Arial" w:eastAsia="Times New Roman" w:hAnsi="Arial" w:cs="Arial"/>
          <w:color w:val="000000"/>
          <w:sz w:val="20"/>
          <w:szCs w:val="20"/>
        </w:rPr>
        <w:fldChar w:fldCharType="begin"/>
      </w:r>
      <w:r w:rsidRPr="00AD0F7B">
        <w:rPr>
          <w:rFonts w:ascii="Arial" w:eastAsia="Times New Roman" w:hAnsi="Arial" w:cs="Arial"/>
          <w:color w:val="000000"/>
          <w:sz w:val="20"/>
          <w:szCs w:val="20"/>
        </w:rPr>
        <w:instrText xml:space="preserve"> HYPERLINK "https://thuvienphapluat.vn/van-ban/ke-toan-kiem-toan/nghi-dinh-128-2004-nd-cp-huong-dan-luat-ke-toan-ap-dung-trong-ke-toan-nha-nuoc-52128.aspx" \o "Nghị định 128/2004/NĐ-CP" \t "_blank" </w:instrText>
      </w:r>
      <w:r w:rsidRPr="00AD0F7B">
        <w:rPr>
          <w:rFonts w:ascii="Arial" w:eastAsia="Times New Roman" w:hAnsi="Arial" w:cs="Arial"/>
          <w:color w:val="000000"/>
          <w:sz w:val="20"/>
          <w:szCs w:val="20"/>
        </w:rPr>
        <w:fldChar w:fldCharType="separate"/>
      </w:r>
      <w:r w:rsidRPr="00AD0F7B">
        <w:rPr>
          <w:rFonts w:ascii="Arial" w:eastAsia="Times New Roman" w:hAnsi="Arial" w:cs="Arial"/>
          <w:color w:val="0E70C3"/>
          <w:sz w:val="20"/>
          <w:szCs w:val="20"/>
        </w:rPr>
        <w:t>128/2004/NĐ-CP</w:t>
      </w:r>
      <w:r w:rsidRPr="00AD0F7B">
        <w:rPr>
          <w:rFonts w:ascii="Arial" w:eastAsia="Times New Roman" w:hAnsi="Arial" w:cs="Arial"/>
          <w:color w:val="000000"/>
          <w:sz w:val="20"/>
          <w:szCs w:val="20"/>
        </w:rPr>
        <w:fldChar w:fldCharType="end"/>
      </w:r>
      <w:r w:rsidRPr="00AD0F7B">
        <w:rPr>
          <w:rFonts w:ascii="Arial" w:eastAsia="Times New Roman" w:hAnsi="Arial" w:cs="Arial"/>
          <w:color w:val="000000"/>
          <w:sz w:val="20"/>
          <w:szCs w:val="20"/>
        </w:rPr>
        <w:t> ngày 31/5/2004 của Chính phủ quy định chi tiết và hướng dẫn thi hành một số điều của Luật Kế toán áp dụng trong lĩnh vực kế toán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4. Đối với các chương trình, dự án viện trợ chấm dứt hoạt động hoặc có quyết định giải thể, sáp nhập trong năm ngân sách, giám đốc dự án và người phụ trách kế toán phải chịu trách nhiệm giải quyết các khoản thu, chi và hoàn thành việc báo cáo quyết toán chi viện trợ đến thời điểm chấm dứt hoạt động, giải thể, sáp nhập, mới được điều chuyển đi công tác khác và chịu trách nhiệm trước pháp luật về những sai phạm (nếu có) trong thời gian thực hiện nhiệm vụ.</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5. Hàng năm, các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là các đơn vị dự toán cấp I có trách nhiệm tổng hợp và lập báo cáo quyết toán năm gửi cơ quan Tài chính cùng cấp để xét duyệt, thẩm định và thông báo quyết toán hàng năm.</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Đối với vốn đầu tư xây dựng cơ bản: thực hiện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Thông tư số </w:t>
      </w:r>
      <w:hyperlink r:id="rId24" w:tgtFrame="_blank" w:tooltip="Thông tư 53/2005/TT-BTC" w:history="1">
        <w:r w:rsidRPr="00AD0F7B">
          <w:rPr>
            <w:rFonts w:ascii="Arial" w:eastAsia="Times New Roman" w:hAnsi="Arial" w:cs="Arial"/>
            <w:color w:val="0E70C3"/>
            <w:sz w:val="20"/>
            <w:szCs w:val="20"/>
          </w:rPr>
          <w:t>53/2005/TT-BTC</w:t>
        </w:r>
      </w:hyperlink>
      <w:r w:rsidRPr="00AD0F7B">
        <w:rPr>
          <w:rFonts w:ascii="Arial" w:eastAsia="Times New Roman" w:hAnsi="Arial" w:cs="Arial"/>
          <w:color w:val="000000"/>
          <w:sz w:val="20"/>
          <w:szCs w:val="20"/>
        </w:rPr>
        <w:t> ngày 23/6/2005 của Bộ Tài chính hướng dẫn lập, thẩm định báo cáo quyết toán vốn đầu tư xây dựng cơ bản thuộc nguồn vốn ngân sách nhà nước theo niên độ ngân sách hàng năm.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Đối với vốn sự nghiệp: thực hiện theo Thông tư của Bộ Tài chính hướng dẫn xét duyệt, thẩm định và thông báo quyết toán hàng năm đối với các cơ quan hành chính, đơn vị sự nghiệp và tổ chức được ngân sách nhà nước hỗ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6. Kết thúc dự án, chủ dự án đều phải lập báo cáo quyết toán dự án hoàn thành (đối với dự án xây dựng cơ bản), báo cáo quyết toán vốn hành chính sự nghiệp (đối với dự án có tính chất chi hành chính sự nghiệp) để trình cơ quan chủ quản thẩm định và phê duyệt theo chế độ kế toán hiện hành.</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Báo cáo quyết toán quyết toán dự án hoàn thành áp dụng theo các quy định tại Thông tư số </w:t>
      </w:r>
      <w:hyperlink r:id="rId25" w:tgtFrame="_blank" w:tooltip="Thông tư 33/2007/TT-BTC" w:history="1">
        <w:r w:rsidRPr="00AD0F7B">
          <w:rPr>
            <w:rFonts w:ascii="Arial" w:eastAsia="Times New Roman" w:hAnsi="Arial" w:cs="Arial"/>
            <w:color w:val="0E70C3"/>
            <w:sz w:val="20"/>
            <w:szCs w:val="20"/>
          </w:rPr>
          <w:t>33/2007/TT-BTC</w:t>
        </w:r>
      </w:hyperlink>
      <w:r w:rsidRPr="00AD0F7B">
        <w:rPr>
          <w:rFonts w:ascii="Arial" w:eastAsia="Times New Roman" w:hAnsi="Arial" w:cs="Arial"/>
          <w:color w:val="000000"/>
          <w:sz w:val="20"/>
          <w:szCs w:val="20"/>
        </w:rPr>
        <w:t> ngày 9/4/2007 của Bộ Tài chính hướng dẫn quyết toán dự án hoàn thành thuộc nguồn vốn Nhà nước và Thông tư số </w:t>
      </w:r>
      <w:hyperlink r:id="rId26" w:tgtFrame="_blank" w:tooltip="Thông tư 98/2007/TT-BTC" w:history="1">
        <w:r w:rsidRPr="00AD0F7B">
          <w:rPr>
            <w:rFonts w:ascii="Arial" w:eastAsia="Times New Roman" w:hAnsi="Arial" w:cs="Arial"/>
            <w:color w:val="0E70C3"/>
            <w:sz w:val="20"/>
            <w:szCs w:val="20"/>
          </w:rPr>
          <w:t>98/2007/TT-BTC</w:t>
        </w:r>
      </w:hyperlink>
      <w:r w:rsidRPr="00AD0F7B">
        <w:rPr>
          <w:rFonts w:ascii="Arial" w:eastAsia="Times New Roman" w:hAnsi="Arial" w:cs="Arial"/>
          <w:color w:val="000000"/>
          <w:sz w:val="20"/>
          <w:szCs w:val="20"/>
        </w:rPr>
        <w:t> ngày 9/8/2007 của Bộ Tài chính hướng dẫn sửa đổi, bổ sung một số điểm của Thông tư số </w:t>
      </w:r>
      <w:hyperlink r:id="rId27" w:tgtFrame="_blank" w:tooltip="Thông tư 33/2007/TT-BTC" w:history="1">
        <w:r w:rsidRPr="00AD0F7B">
          <w:rPr>
            <w:rFonts w:ascii="Arial" w:eastAsia="Times New Roman" w:hAnsi="Arial" w:cs="Arial"/>
            <w:color w:val="0E70C3"/>
            <w:sz w:val="20"/>
            <w:szCs w:val="20"/>
          </w:rPr>
          <w:t>33/2007/TT-BTC</w:t>
        </w:r>
      </w:hyperlink>
      <w:r w:rsidRPr="00AD0F7B">
        <w:rPr>
          <w:rFonts w:ascii="Arial" w:eastAsia="Times New Roman" w:hAnsi="Arial" w:cs="Arial"/>
          <w:color w:val="000000"/>
          <w:sz w:val="20"/>
          <w:szCs w:val="20"/>
        </w:rPr>
        <w:t> ngày 9/4/2007.</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Báo cáo quyết toán vốn hành chính sự nghiệp áp dụng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quy định tại Quyết định số </w:t>
      </w:r>
      <w:hyperlink r:id="rId28" w:tgtFrame="_blank" w:tooltip="Quyết định 19/2006/QĐ-BTC" w:history="1">
        <w:r w:rsidRPr="00AD0F7B">
          <w:rPr>
            <w:rFonts w:ascii="Arial" w:eastAsia="Times New Roman" w:hAnsi="Arial" w:cs="Arial"/>
            <w:color w:val="0E70C3"/>
            <w:sz w:val="20"/>
            <w:szCs w:val="20"/>
          </w:rPr>
          <w:t>19/2006/QĐ-BTC</w:t>
        </w:r>
      </w:hyperlink>
      <w:r w:rsidRPr="00AD0F7B">
        <w:rPr>
          <w:rFonts w:ascii="Arial" w:eastAsia="Times New Roman" w:hAnsi="Arial" w:cs="Arial"/>
          <w:color w:val="000000"/>
          <w:sz w:val="20"/>
          <w:szCs w:val="20"/>
        </w:rPr>
        <w:t> ngày 30/3/2006 của Bộ trưởng Bộ Tài chính về việc ban hành chế độ kế toán hành chính sự nghiệp.</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1" w:name="dieu_14"/>
      <w:proofErr w:type="gramStart"/>
      <w:r w:rsidRPr="00AD0F7B">
        <w:rPr>
          <w:rFonts w:ascii="Arial" w:eastAsia="Times New Roman" w:hAnsi="Arial" w:cs="Arial"/>
          <w:b/>
          <w:bCs/>
          <w:color w:val="000000"/>
          <w:sz w:val="20"/>
          <w:szCs w:val="20"/>
        </w:rPr>
        <w:t>Điều 14.</w:t>
      </w:r>
      <w:proofErr w:type="gramEnd"/>
      <w:r w:rsidRPr="00AD0F7B">
        <w:rPr>
          <w:rFonts w:ascii="Arial" w:eastAsia="Times New Roman" w:hAnsi="Arial" w:cs="Arial"/>
          <w:b/>
          <w:bCs/>
          <w:color w:val="000000"/>
          <w:sz w:val="20"/>
          <w:szCs w:val="20"/>
        </w:rPr>
        <w:t xml:space="preserve"> Kiểm toán</w:t>
      </w:r>
      <w:bookmarkEnd w:id="21"/>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Kiểm toán dự án viện trợ được tiến hành căn cứ vào yêu cầu, phạm vi, mục tiêu, nội dung, cách thức tổ chức và kinh phí kiểm toán, quy định tại các điều ước, thoả thuận quốc tế hoặc văn kiện dự án viện trợ. Kiểm toán nhà nước thực hiện kiểm toán dự án viện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kế hoạch được cơ quan có thẩm quyền phê duyệt hoặc có yêu cầu bằng văn bản chính thức. Trường hợp các chương trình/dự án viện trợ không có kế hoạch kiểm toán nhà nước, Bên tài trợ hoặc chủ dự án Việt Nam thuê dịch vụ kiểm toán độc lập để tiến hành việc kiểm toán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tại các điều ước, thoả thuận quốc tế hoặc văn kiện dự án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2. Trường hợp kiểm toán độc lập do nhà tài trợ thuê: Kinh phí để thuê kiểm toán được lấy từ nguồn kinh phí riêng do nhà tài trợ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xếp, hoặc được lấy từ nguồn tiền viện trợ cho dự án theo thoả thuận viện trợ. Chủ dự án có trách nhiệm gửi, hoặc đề nghị nhà tài trợ gửi các báo cáo kiểm toán độc lập hàng năm </w:t>
      </w:r>
      <w:r w:rsidRPr="00AD0F7B">
        <w:rPr>
          <w:rFonts w:ascii="Arial" w:eastAsia="Times New Roman" w:hAnsi="Arial" w:cs="Arial"/>
          <w:color w:val="000000"/>
          <w:sz w:val="20"/>
          <w:szCs w:val="20"/>
        </w:rPr>
        <w:lastRenderedPageBreak/>
        <w:t>hoặc kiểm toán theo chuyên đề cho cơ quan chủ quản và cơ quan Tài chính đồng cấp để theo dõi quản lý và phục vụ cho việc thanh quyết toán nguồn vốn viện trợ của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Trường hợp kiểm toán do phía Việt Nam thực hiện: Chủ dự án báo cáo với cơ quan chủ quản và cơ quan Tài chính đồng cấp để xem xét và cho phép thuê kiểm toán độc lập từ nguồn vốn đối ứng để kiểm toán theo quy định tại các điều ước, thoả thuận quốc tế hoặc văn kiện dự án viện trợ. Báo cáo kiểm toán này được gửi cho cơ quan chủ quản và cơ quan Tài chính đồng cấp để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quản lý và phục vụ cho việc thanh quyết toán nguồn vốn viện trợ, vốn đối ứng của dự án.</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2" w:name="dieu_15"/>
      <w:proofErr w:type="gramStart"/>
      <w:r w:rsidRPr="00AD0F7B">
        <w:rPr>
          <w:rFonts w:ascii="Arial" w:eastAsia="Times New Roman" w:hAnsi="Arial" w:cs="Arial"/>
          <w:b/>
          <w:bCs/>
          <w:color w:val="000000"/>
          <w:sz w:val="20"/>
          <w:szCs w:val="20"/>
        </w:rPr>
        <w:t>Điều 15.</w:t>
      </w:r>
      <w:proofErr w:type="gramEnd"/>
      <w:r w:rsidRPr="00AD0F7B">
        <w:rPr>
          <w:rFonts w:ascii="Arial" w:eastAsia="Times New Roman" w:hAnsi="Arial" w:cs="Arial"/>
          <w:b/>
          <w:bCs/>
          <w:color w:val="000000"/>
          <w:sz w:val="20"/>
          <w:szCs w:val="20"/>
        </w:rPr>
        <w:t xml:space="preserve"> Chế độ quản lý vốn, tài sản hình thành từ nguồn viện trợ</w:t>
      </w:r>
      <w:bookmarkEnd w:id="22"/>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1. Tài sản hình thành từ nguồn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nhà nước là tài sản được xác lập quyền sở hữu nhà nước. Việc xác lập quyền sở hữu tài sản nhà nước được thực hiện theo quy định tại Nghị định số </w:t>
      </w:r>
      <w:hyperlink r:id="rId29" w:tgtFrame="_blank" w:tooltip="Nghị định 137/2006/NĐ-CP" w:history="1">
        <w:r w:rsidRPr="00AD0F7B">
          <w:rPr>
            <w:rFonts w:ascii="Arial" w:eastAsia="Times New Roman" w:hAnsi="Arial" w:cs="Arial"/>
            <w:color w:val="0E70C3"/>
            <w:sz w:val="20"/>
            <w:szCs w:val="20"/>
          </w:rPr>
          <w:t>137/2006/NĐ-CP</w:t>
        </w:r>
      </w:hyperlink>
      <w:r w:rsidRPr="00AD0F7B">
        <w:rPr>
          <w:rFonts w:ascii="Arial" w:eastAsia="Times New Roman" w:hAnsi="Arial" w:cs="Arial"/>
          <w:color w:val="000000"/>
          <w:sz w:val="20"/>
          <w:szCs w:val="20"/>
        </w:rPr>
        <w:t> ngày 14/11/2006 của Chính phủ về phân cấp quản lý nhà nước đối với tài sản nhà nước tại cơ quan hành chính, đơn vị sự nghiệp công lập, tài sản được xác lập quyền sở hữu của nhà nước.</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Việc quản lý, sử dụng tài sản trong quá trình thực hiện chương trình, dự án viện trợ nước ngoài (bao gồm cả ODA không hoàn lại và viện trợ PCPNN) được thực hiện theo Chỉ thị số </w:t>
      </w:r>
      <w:hyperlink r:id="rId30" w:tgtFrame="_blank" w:tooltip="Chỉ thị 17/2007/CT-TTg" w:history="1">
        <w:r w:rsidRPr="00AD0F7B">
          <w:rPr>
            <w:rFonts w:ascii="Arial" w:eastAsia="Times New Roman" w:hAnsi="Arial" w:cs="Arial"/>
            <w:color w:val="0E70C3"/>
            <w:sz w:val="20"/>
            <w:szCs w:val="20"/>
          </w:rPr>
          <w:t>17/2007/CT-TTg</w:t>
        </w:r>
      </w:hyperlink>
      <w:r w:rsidRPr="00AD0F7B">
        <w:rPr>
          <w:rFonts w:ascii="Arial" w:eastAsia="Times New Roman" w:hAnsi="Arial" w:cs="Arial"/>
          <w:color w:val="000000"/>
          <w:sz w:val="20"/>
          <w:szCs w:val="20"/>
        </w:rPr>
        <w:t> ngày 25/7/2007 của Thủ tướng Chính phủ về việc tăng cường quản lý tài sản của các Ban quản lý dự án sử dụng vốn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Chế độ quản lý tài sản của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khi dự án đang hoạt động: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Đối với các tài sản phục vụ công tác của Ban quản lý dự án như ô tô, thiết bị văn phòng (sau đây gọi chung là tài sản quản lý): Ban quản lý dự án các cấp có trách nhiệm mở sổ sách theo dõi các tài sản này theo đúng chế độ kế toán hiện hành của nhà nước và chấp hành đầy đủ các quy định của pháp luật về quản lý tài sản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Trong trường hợp các tài sản quản lý trên không còn sử dụng được hoặc không cần sử dụng trong quá trình thực hiện dự án, thì việc xử lý tài sản cũng được thực hiện như đối với các tài sản của dự án viện trợ khi dự án kết thúc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tại khoản 4 Điều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Đối với các tài sản quản lý, nhưng do Bên tài trợ quản lý và chỉ được bàn giao cho phía Việt Nam khi kết thúc dự án (như tài sản phục vụ hoạt động của các chuyên gia nước ngoài, nhà thầu tư vấn, giám sát, thi công dự án): Trên các Tờ khai xác nhận viện trợ bằng hiện vật (mẫu C1-HD/XNVT, mẫu C2- HD/XNVT), chủ dự án cần đánh dấu vào mục “Đề nghị cơ quan Tài chính không hạch toán NSNN đối với Tờ khai XNVT này, với lý do chưa được Bên tài trợ bàn giao quyền sở hữu”, để cơ quan Tài chính không hạch toán NSNN ngay đối với loại tài sản này. Các tài sản này được xử lý khi dự án kết thúc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tại khoản 4 Điều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 Đối với tài sản, trang thiết bị được đầu tư, mua sắm bằng nguồn tiền viện trợ và giao cho các đơn vị thụ hưởng dự án sử dụng (sau đây gọi chung là tài sản đầu tư): Căn cứ vào quyết định phân phối tài sản của chủ dự án hoặc Ban quản lý dự án các cấp, các đơn vị thụ hưởng tiến hành hạch toán tăng tài sản và nguồn hình thành theo đúng chế độ kế toán hiện hành của nhà nước và chấp hành đầy đủ các quy định của pháp luật về quản lý tài sản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4. Xử lý tài sản của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khi dự án kết thúc:</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Đối với các chủ dự án là các cơ quan nhà nước, đơn vị sự nghiệp: các đơn vị có trách nhiệm quyết toán dự án hoàn thành, tiến hành kiểm kê, đề xuất phương án xử lý và bàn giao tài sản theo hướng dẫn tại Thông tư số </w:t>
      </w:r>
      <w:hyperlink r:id="rId31" w:tgtFrame="_blank" w:tooltip="Thông tư 87/2010/TT-BTC" w:history="1">
        <w:r w:rsidRPr="00AD0F7B">
          <w:rPr>
            <w:rFonts w:ascii="Arial" w:eastAsia="Times New Roman" w:hAnsi="Arial" w:cs="Arial"/>
            <w:color w:val="0E70C3"/>
            <w:sz w:val="20"/>
            <w:szCs w:val="20"/>
          </w:rPr>
          <w:t>87/2010/TT-BTC</w:t>
        </w:r>
      </w:hyperlink>
      <w:r w:rsidRPr="00AD0F7B">
        <w:rPr>
          <w:rFonts w:ascii="Arial" w:eastAsia="Times New Roman" w:hAnsi="Arial" w:cs="Arial"/>
          <w:color w:val="000000"/>
          <w:sz w:val="20"/>
          <w:szCs w:val="20"/>
        </w:rPr>
        <w:t> ngày 15/6/2010 của Bộ Tài chính hướng dẫn việc quản lý và xử lý tài sản của các dự án sử dụng vốn ngân sách nhà nước khi dự án kết thúc.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Đối với dự án viện trợ do các doanh nghiệp thực hiện: Doanh nghiệp có trách nhiệm quyết toán dự án hoàn thành gửi Bộ Tài chính (đối với dự án thuộc nguồn thu của ngân sách trung ương) hoặc Sở Tài chính (đối với dự án thuộc nguồn thu của ngân sách địa phương) để làm căn cứ hạch toán giao vốn và bàn giao tài sản của dự án viện trợ cho doanh nghiệp quản lý và sử dụng.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Đối với các tài sản thuộc các dự án viện trợ nước ngoài do Bên tài trợ trực tiếp quản lý (quy định tại Điều 5 Thông tư này): Căn cứ vào biên bản chuyển giao của Bên tài trợ cho các đối tác Việt Nam có liên quan, cơ quan chủ quản có trách nhiệm lập hồ sơ xử lý tài sản của dự án kết thúc để xử lý theo thẩm </w:t>
      </w:r>
      <w:r w:rsidRPr="00AD0F7B">
        <w:rPr>
          <w:rFonts w:ascii="Arial" w:eastAsia="Times New Roman" w:hAnsi="Arial" w:cs="Arial"/>
          <w:color w:val="000000"/>
          <w:sz w:val="20"/>
          <w:szCs w:val="20"/>
        </w:rPr>
        <w:lastRenderedPageBreak/>
        <w:t xml:space="preserve">quyền hoặc trình cấp có thẩm quyền xử lý theo quy định của pháp luật hiện hành. Trường hợp điều chuyển cho các cơ quan, tổ chức, đơn vị không thuộc phạm </w:t>
      </w:r>
      <w:proofErr w:type="gramStart"/>
      <w:r w:rsidRPr="00AD0F7B">
        <w:rPr>
          <w:rFonts w:ascii="Arial" w:eastAsia="Times New Roman" w:hAnsi="Arial" w:cs="Arial"/>
          <w:color w:val="000000"/>
          <w:sz w:val="20"/>
          <w:szCs w:val="20"/>
        </w:rPr>
        <w:t>vi</w:t>
      </w:r>
      <w:proofErr w:type="gramEnd"/>
      <w:r w:rsidRPr="00AD0F7B">
        <w:rPr>
          <w:rFonts w:ascii="Arial" w:eastAsia="Times New Roman" w:hAnsi="Arial" w:cs="Arial"/>
          <w:color w:val="000000"/>
          <w:sz w:val="20"/>
          <w:szCs w:val="20"/>
        </w:rPr>
        <w:t xml:space="preserve"> quản lý của các Bộ, cơ quan ngang Bộ, cơ quan thuộc Chính phủ, cơ quan Trung ương của các đoàn thể và Uỷ ban nhân dân cấp tỉnh thì cơ quan chủ quản đề nghị Bộ Tài chính quyết định điều chuyển.</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d) Đối với các dự án viện trợ khác thì việc xử lý tài sản khi dự án kết thúc được thực hiện theo hướng dẫn tại Thông tư số </w:t>
      </w:r>
      <w:hyperlink r:id="rId32" w:tgtFrame="_blank" w:tooltip="Thông tư 87/2010/TT-BTC" w:history="1">
        <w:r w:rsidRPr="00AD0F7B">
          <w:rPr>
            <w:rFonts w:ascii="Arial" w:eastAsia="Times New Roman" w:hAnsi="Arial" w:cs="Arial"/>
            <w:color w:val="0E70C3"/>
            <w:sz w:val="20"/>
            <w:szCs w:val="20"/>
          </w:rPr>
          <w:t>87/2010/TT-BTC</w:t>
        </w:r>
      </w:hyperlink>
      <w:r w:rsidRPr="00AD0F7B">
        <w:rPr>
          <w:rFonts w:ascii="Arial" w:eastAsia="Times New Roman" w:hAnsi="Arial" w:cs="Arial"/>
          <w:color w:val="000000"/>
          <w:sz w:val="20"/>
          <w:szCs w:val="20"/>
        </w:rPr>
        <w:t> ngày 15/6/2010 của Bộ Tài chính hướng dẫn việc quản lý và xử lý tài sản của các dự án sử dụng vốn ngân sách nhà nước khi dự án kết thúc.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đ) Đối với tài sản được tạm nhập miễn thuế của chuyên gia nước ngoài làm việc cho các dự án viện trợ: sau khi dự án kết thúc, nếu tài sản được chuyển giao lại cho Chính phủ Việt Nam, chủ dự án viện trợ hoặc cơ quan được giao xử lý tài sản làm thủ tục chuyển nhượng và nộp thuế (nếu có) theo quy định của pháp luật.</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e) Cơ quan, đơn vị được giao tiếp nhận, quản lý và sử dụng tài sản của dự án kết thúc chỉ được phép ghi tăng tài sản và nguồn vốn hình thành tài sản được xác lập quyền sở hữu của Nhà nước, sau khi có quyết định xử lý của cơ quan nhà nước có thẩm quyền.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5. Xử lý các khoản vốn bằng tiền của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khi kết thúc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a) Lãi tiền gửi viện trợ phát sinh trên tài khoản tiền gửi viện trợ phải được hạch toán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riêng và trong quá trình thực hiện dự án chỉ được sử dụng để thanh toán các chi phí giao dịch của ngân hàng phục vụ (nếu có). Sau khi kết thúc dự án,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có trách nhiệm làm thủ tục xác nhận viện trợ cho khoản tiền lãi bổ sung này như một khoản viện trợ mới và được sử dụng theo đúng các điều ước, thoả thuận quốc tế hoặc văn kiện dự án viện trợ. Trường hợp không có cam kết, thoả thuận quốc tế về sử dụng lãi tiền gửi viện trợ,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nộp toàn bộ số lãi đó vào ngân sách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Kinh phí kết dư là số tiền do Bên tài trợ chuyển cho phía Việt Nam để thanh toán cho những hoạt động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nhưng sau khi kết thúc dự án vẫn còn dư trên tài khoản tiếp nhận tiền viện trợ. Sau khi kết thúc dự án, nếu như không phải trả lại nhà tài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điều ước, thoả thuận quốc tế, số kinh phí kết dư trên được nộp về một tài khoản riêng do cơ quan chủ quản quản lý.</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 Chênh lệch tỷ giá giữa tỷ giá hạch toán trên sổ sách kế toán và tỷ giá thực tế phát sinh trong quá trình hạch toán, chuyển đổi số ngoại tệ viện trợ sang nội tệ, được hạch toán riêng và xử lý kết chuyển vào chi phí, hoặc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nhập hoạt động dự án hàng năm. </w:t>
      </w:r>
      <w:proofErr w:type="gramStart"/>
      <w:r w:rsidRPr="00AD0F7B">
        <w:rPr>
          <w:rFonts w:ascii="Arial" w:eastAsia="Times New Roman" w:hAnsi="Arial" w:cs="Arial"/>
          <w:color w:val="000000"/>
          <w:sz w:val="20"/>
          <w:szCs w:val="20"/>
        </w:rPr>
        <w:t>Sau khi kết thúc dự án, nếu như không có thoả thuận xử lý cụ thể với Bên tài trợ, số tiền chênh lệch trên (chênh lệch dương) được nộp về một tài khoản riêng do cơ quan chủ quản quản lý.</w:t>
      </w:r>
      <w:proofErr w:type="gramEnd"/>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Hàng năm, cơ quan chủ quản có trách nhiệm phối hợp với Bộ Tài chính xử lý kinh phí kết dư và chênh lệch tỷ giá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6. Đối với các hợp phần tín dụng trong các chương trình, dự án viện trợ: Sau khi kết thúc chương trình, dự án, tuỳ theo hiệp định, thoả thuận quốc tế cụ thể với Bên tài trợ, các hợp phần tín dụng có thể được thu hồi về cho ngân sách nhà nước, hoặc tiếp tục giao cho các tổ chức tín dụng để cho vay theo hình thức quỹ tín dụng quay vòng.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7. Cùng thời điểm phê duyệt quyết toán và xử lý tài sản, vốn bằng tiền của các dự án hoàn thành, cơ quan chủ quản có trách nhiệm tiến hành việc bàn giao các thành quả khác của chương trình, dự án viện trợ, như bàn giao các tài liệu hướng dẫn kỹ thuật, tài liệu phổ cập của dự án, các mô hình trình diễn, thử nghiệm của dự án, các loại vật tư, hàng hoá tiêu hao còn tồn kho của dự án, cho các cơ quan, đơn vị liên quan để tiếp tục quản lý và sử dụng.</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3" w:name="dieu_16"/>
      <w:proofErr w:type="gramStart"/>
      <w:r w:rsidRPr="00AD0F7B">
        <w:rPr>
          <w:rFonts w:ascii="Arial" w:eastAsia="Times New Roman" w:hAnsi="Arial" w:cs="Arial"/>
          <w:b/>
          <w:bCs/>
          <w:color w:val="000000"/>
          <w:sz w:val="20"/>
          <w:szCs w:val="20"/>
        </w:rPr>
        <w:t>Điều 16.</w:t>
      </w:r>
      <w:proofErr w:type="gramEnd"/>
      <w:r w:rsidRPr="00AD0F7B">
        <w:rPr>
          <w:rFonts w:ascii="Arial" w:eastAsia="Times New Roman" w:hAnsi="Arial" w:cs="Arial"/>
          <w:b/>
          <w:bCs/>
          <w:color w:val="000000"/>
          <w:sz w:val="20"/>
          <w:szCs w:val="20"/>
        </w:rPr>
        <w:t xml:space="preserve"> Chính sách thuế và ưu đãi về thuế đối với viện trợ nước ngoài</w:t>
      </w:r>
      <w:bookmarkEnd w:id="23"/>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Chính sách thuế và ưu đãi về thế đối với viện trợ không hoàn lại được thực hiện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quy định của pháp luật về thuế hiện hành.</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4" w:name="dieu_17"/>
      <w:proofErr w:type="gramStart"/>
      <w:r w:rsidRPr="00AD0F7B">
        <w:rPr>
          <w:rFonts w:ascii="Arial" w:eastAsia="Times New Roman" w:hAnsi="Arial" w:cs="Arial"/>
          <w:b/>
          <w:bCs/>
          <w:color w:val="000000"/>
          <w:sz w:val="20"/>
          <w:szCs w:val="20"/>
        </w:rPr>
        <w:t>Điều 17.</w:t>
      </w:r>
      <w:proofErr w:type="gramEnd"/>
      <w:r w:rsidRPr="00AD0F7B">
        <w:rPr>
          <w:rFonts w:ascii="Arial" w:eastAsia="Times New Roman" w:hAnsi="Arial" w:cs="Arial"/>
          <w:b/>
          <w:bCs/>
          <w:color w:val="000000"/>
          <w:sz w:val="20"/>
          <w:szCs w:val="20"/>
        </w:rPr>
        <w:t xml:space="preserve"> Chế độ báo cáo</w:t>
      </w:r>
      <w:bookmarkEnd w:id="24"/>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Chủ dự án lập và gửi Báo cáo tình hình tiếp nhận viện trợ 6 tháng và cả năm cho cơ quan chủ quản cấp trên, chậm nhất vào ngày 10/7 đối với báo cáo 6 tháng và ngày 20/01 năm sau đối với báo cáo năm.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2. Cơ quan chủ quản là các đơn vị dự toán cấp I lập và gửi: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Báo cáo tổng hợp tình hình tiếp nhận viện trợ 6 tháng và cả năm cho cơ quan Tài chính đồng cấp, chậm nhất vào ngày 20/7 đối với báo cáo quý và chậm nhất vào ngày 31/01 năm sau đối với báo cáo năm;</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 Báo cáo kết thúc toàn bộ chương trình,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chậm nhất 6 tháng sau khi kết thúc chương trình,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Các báo cáo hàng tháng, quý và cả năm được lập căn cứ vào các Tờ khai xác nhận viện trợ và tình hình thực tế tiếp nhận viện trợ của chủ dự án trong kỳ báo cáo, theo Mẫu số 1 (đối với chủ dự án) và Mẫu số 2 (đối với cơ quan chủ quản) tại Phụ lục 3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Báo cáo kết thúc dự án được lập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mẫu Báo cáo quyết toán vốn đầu tư (đối với các dự án xây dựng cơ bản) hoặc Báo cáo quyết toán vốn dự án hành chính sự nghiệp (đối với các dự án do các đơn vị hành chính, sự nghiệp thực hiện) theo quy định hiện hành. </w:t>
      </w:r>
      <w:proofErr w:type="gramStart"/>
      <w:r w:rsidRPr="00AD0F7B">
        <w:rPr>
          <w:rFonts w:ascii="Arial" w:eastAsia="Times New Roman" w:hAnsi="Arial" w:cs="Arial"/>
          <w:color w:val="000000"/>
          <w:sz w:val="20"/>
          <w:szCs w:val="20"/>
        </w:rPr>
        <w:t>Đối với các khoản viện trợ không hoàn lại phi vật chất chỉ đưa vào các báo cáo trên trong trường hợp có thể quy ra tiền và có đủ tài liệu, chứng từ chứng minh.</w:t>
      </w:r>
      <w:proofErr w:type="gramEnd"/>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3. Cơ quan chủ quản có trách nhiệm lập báo cáo tổng hợp tiếp nhận và sử dụng viện trợ và gửi cho cơ quan Tài chính đồng cấp và các cơ quan quản lý nhà nước về viện trợ có liên quan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hiện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4. Báo cáo của chủ dự án là đơn vị dự toán cấp I thuộc Ngân sách trung ương được gửi cho Bộ Tài chính (Cục Quản lý nợ và Tài chính đối ngoại) một (1) bản chính, đồng thời truyền báo cáo này qua thư điện tử cho Bộ Tài chính theo địa chỉ email: taichinhdoingoai@ mof.gov.vn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5. Các báo cáo gửi cho nhà tài trợ được thực hiện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các văn kiện dự án, hiệp định hoặc thoả thuận tài trợ đã ký kết với nhà tài trợ. Các báo cáo này cũng được chủ dự án gửi cho cơ quan chủ quản và cơ quan Tài chính đồng cấp để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dõi, chỉ đạo thực hiện dự án.</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5" w:name="dieu_18"/>
      <w:proofErr w:type="gramStart"/>
      <w:r w:rsidRPr="00AD0F7B">
        <w:rPr>
          <w:rFonts w:ascii="Arial" w:eastAsia="Times New Roman" w:hAnsi="Arial" w:cs="Arial"/>
          <w:b/>
          <w:bCs/>
          <w:color w:val="000000"/>
          <w:sz w:val="20"/>
          <w:szCs w:val="20"/>
        </w:rPr>
        <w:t>Điều 18.</w:t>
      </w:r>
      <w:proofErr w:type="gramEnd"/>
      <w:r w:rsidRPr="00AD0F7B">
        <w:rPr>
          <w:rFonts w:ascii="Arial" w:eastAsia="Times New Roman" w:hAnsi="Arial" w:cs="Arial"/>
          <w:b/>
          <w:bCs/>
          <w:color w:val="000000"/>
          <w:sz w:val="20"/>
          <w:szCs w:val="20"/>
        </w:rPr>
        <w:t xml:space="preserve"> Trách nhiệm quản lý tài chính đối với viện trợ nước ngoài</w:t>
      </w:r>
      <w:bookmarkEnd w:id="25"/>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1. Trách nhiệm của cơ quan tài chính: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Bộ Tài chính: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Hướng dẫn việc thực hiện các chế độ quản lý tài chính đối với nguồn viện trợ nước ngoài; chịu trách nhiệm kiểm tra việc thực hiện các chế độ quản lý tài chính đối với các cơ quan chủ quản dự án viện trợ nước ngoài, các đối tượng tiếp nhận viện trợ nước ngoài;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Thực hiện xác nhận viện trợ và hạch toán ngân sách nhà nước đối với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của ngân sách trung 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Kiểm tra, giám sát việc sử dụng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 Theo dõi, đôn đốc các chủ dự án thanh toán hoàn tạm ứng đối với đối với các khoản viện trợ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NSTW, bảo đảm thời hạn thanh toán vốn tạm ứng không chậm hơn thời hạn chỉnh lý quyết toán NSNN hàng năm theo quy định hiện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Thẩm định quyết toán sử dụng viện trợ năm đối với các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là đơn vị dự toán cấp I thuộc các Bộ, cơ quan ngang Bộ, cơ quan trực thuộc Chính phủ và cơ quan khác ở Trung 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Sở Tài chính: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Hướng dẫn và kiểm tra việc thực hiện các chế độ quản lý tài chính đối với nguồn viện trợ nước ngoài trực tiếp cho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Thực hiện xác nhận viện trợ và hạch toán ngân sách địa phương đối với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Phối hợp với Bộ Tài chính trong việc hạch toán ngân sách đối với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 hỗ trợ có mục tiêu cho ngân sách địa phương;</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 xml:space="preserve">- Kiểm tra, giám sát việc sử dụng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trung ương hỗ trợ có mục tiêu cho ngân sách địa phương và viện trợ nước ngoài thuộc nguồn thu ngân sách địa phương. Theo dõi, đôn đốc các chủ dự án thanh toán hoàn tạm ứng đối với các khoản viện trợ thuộc nguồn thu NSTW chi bổ sung cho NSĐP và viện trợ thuộc nguồn thu NSĐP, đã ghi chi tạm ứng cho dự án, bảo đảm thời hạn thanh toán vốn tạm ứng không chậm hơn thời hạn chỉnh lý quyết toán NSNN hàng năm theo quy định hiện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Thẩm định quyết toán viện trợ năm đối với các chủ dự </w:t>
      </w:r>
      <w:proofErr w:type="gramStart"/>
      <w:r w:rsidRPr="00AD0F7B">
        <w:rPr>
          <w:rFonts w:ascii="Arial" w:eastAsia="Times New Roman" w:hAnsi="Arial" w:cs="Arial"/>
          <w:color w:val="000000"/>
          <w:sz w:val="20"/>
          <w:szCs w:val="20"/>
        </w:rPr>
        <w:t>án</w:t>
      </w:r>
      <w:proofErr w:type="gramEnd"/>
      <w:r w:rsidRPr="00AD0F7B">
        <w:rPr>
          <w:rFonts w:ascii="Arial" w:eastAsia="Times New Roman" w:hAnsi="Arial" w:cs="Arial"/>
          <w:color w:val="000000"/>
          <w:sz w:val="20"/>
          <w:szCs w:val="20"/>
        </w:rPr>
        <w:t xml:space="preserve"> viện trợ là đơn vị dự toán cấp I thuộc UBND cấp tỉnh.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2. Trách nhiệm của Cơ quan chủ quản và Chủ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a) Cơ quan chủ quản: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Phối hợp với cơ quan Tài chính trong việc chỉ đạo, hướng dẫn và kiểm tra các đơn vị trực thuộc trong việc thực hiện nghiêm chỉnh chế độ quản lý tài chính quy định tại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Lập và tổng hợp kế hoạch tài chính đối với viện trợ nước ngoài của các đơn vị trực thuộc vào dự toán ngân sách nhà nước hàng năm; thẩm tra, phê duyệt và thông báo phê duyệt quyết toán nguồn viện trợ nước ngoài cho các đơn vị dự toán cấp dưới;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Tổng hợp báo cáo quyết toán viện trợ nước ngoài hàng năm và báo cáo kết thúc dự án của các chủ dự án là các cơ quan cấp dưới (thuộc và trực thuộc) để báo cáo cho cơ quan Tài chính cùng cấp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quy định hiện hành;</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Chủ trì, phối hợp với cơ quan Tài chính đồng cấp trong việc đôn đốc, hướng dẫn và phê duyệt đối với báo cáo quyết toán viện trợ hàng năm; xử lý tài sản, kinh phí, chênh lệch tỷ giá kết dư và quyết toán chương trình, dự án viện trợ nước ngoài đã hoàn thành theo hướng dẫn tại Thông tư này và quy định của pháp luật có liên quan.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b) Chủ dự án:</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Chấp hành các quy định về chế độ quản lý tài chính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hướng dẫn tại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Chịu trách nhiệm chính trước pháp luật về việc thực hiện các chương trình, dự án viện trợ nước ngoài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đúng các quy định đã cam kết trong các hiệp định, thoả thuận hoặc văn kiện dự án viện trợ;</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Kê khai và thực hiện xác nhận của cơ quan Tài chính tại Tờ khai xác nhận viện trợ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hướng dẫn tại Thông tư này;</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xml:space="preserve">- Lập báo cáo quyết toán viện trợ năm và báo cáo quyết toán dự án viện trợ hoàn thành để trình cơ quan chủ quản xem xét và phê duyệt </w:t>
      </w:r>
      <w:proofErr w:type="gramStart"/>
      <w:r w:rsidRPr="00AD0F7B">
        <w:rPr>
          <w:rFonts w:ascii="Arial" w:eastAsia="Times New Roman" w:hAnsi="Arial" w:cs="Arial"/>
          <w:color w:val="000000"/>
          <w:sz w:val="20"/>
          <w:szCs w:val="20"/>
        </w:rPr>
        <w:t>theo</w:t>
      </w:r>
      <w:proofErr w:type="gramEnd"/>
      <w:r w:rsidRPr="00AD0F7B">
        <w:rPr>
          <w:rFonts w:ascii="Arial" w:eastAsia="Times New Roman" w:hAnsi="Arial" w:cs="Arial"/>
          <w:color w:val="000000"/>
          <w:sz w:val="20"/>
          <w:szCs w:val="20"/>
        </w:rPr>
        <w:t xml:space="preserve"> đúng quy định hiện hành.</w:t>
      </w:r>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bookmarkStart w:id="26" w:name="chuong_3"/>
      <w:r w:rsidRPr="00AD0F7B">
        <w:rPr>
          <w:rFonts w:ascii="Arial" w:eastAsia="Times New Roman" w:hAnsi="Arial" w:cs="Arial"/>
          <w:b/>
          <w:bCs/>
          <w:color w:val="000000"/>
          <w:sz w:val="20"/>
          <w:szCs w:val="20"/>
        </w:rPr>
        <w:t>Phần III</w:t>
      </w:r>
      <w:bookmarkEnd w:id="26"/>
    </w:p>
    <w:p w:rsidR="00AD0F7B" w:rsidRPr="00AD0F7B" w:rsidRDefault="00AD0F7B" w:rsidP="00AD0F7B">
      <w:pPr>
        <w:shd w:val="clear" w:color="auto" w:fill="FFFFFF"/>
        <w:spacing w:after="0" w:line="234" w:lineRule="atLeast"/>
        <w:jc w:val="center"/>
        <w:rPr>
          <w:rFonts w:ascii="Arial" w:eastAsia="Times New Roman" w:hAnsi="Arial" w:cs="Arial"/>
          <w:color w:val="000000"/>
          <w:sz w:val="18"/>
          <w:szCs w:val="18"/>
        </w:rPr>
      </w:pPr>
      <w:bookmarkStart w:id="27" w:name="chuong_3_name"/>
      <w:r w:rsidRPr="00AD0F7B">
        <w:rPr>
          <w:rFonts w:ascii="Arial" w:eastAsia="Times New Roman" w:hAnsi="Arial" w:cs="Arial"/>
          <w:b/>
          <w:bCs/>
          <w:color w:val="000000"/>
          <w:sz w:val="18"/>
          <w:szCs w:val="18"/>
        </w:rPr>
        <w:t>TỔ CHỨC THỰC HIỆN</w:t>
      </w:r>
      <w:bookmarkEnd w:id="27"/>
    </w:p>
    <w:p w:rsidR="00AD0F7B" w:rsidRPr="00AD0F7B" w:rsidRDefault="00AD0F7B" w:rsidP="00AD0F7B">
      <w:pPr>
        <w:shd w:val="clear" w:color="auto" w:fill="FFFFFF"/>
        <w:spacing w:after="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Thông tư này có hiệu lực thi hành kể từ ngày 1/3/2011 và thay thế Thông tư số </w:t>
      </w:r>
      <w:hyperlink r:id="rId33" w:tgtFrame="_blank" w:tooltip="Thông tư 82/2007/TT-BTC" w:history="1">
        <w:r w:rsidRPr="00AD0F7B">
          <w:rPr>
            <w:rFonts w:ascii="Arial" w:eastAsia="Times New Roman" w:hAnsi="Arial" w:cs="Arial"/>
            <w:color w:val="0E70C3"/>
            <w:sz w:val="20"/>
            <w:szCs w:val="20"/>
          </w:rPr>
          <w:t>82/2007/TT-BTC</w:t>
        </w:r>
      </w:hyperlink>
      <w:r w:rsidRPr="00AD0F7B">
        <w:rPr>
          <w:rFonts w:ascii="Arial" w:eastAsia="Times New Roman" w:hAnsi="Arial" w:cs="Arial"/>
          <w:color w:val="000000"/>
          <w:sz w:val="20"/>
          <w:szCs w:val="20"/>
        </w:rPr>
        <w:t xml:space="preserve"> ngày 12/7/2007 của Bộ Tài chính hướng dẫn chế độ quản lý tài chính nhà nước đối với viện trợ nước ngoài thuộc nguồn </w:t>
      </w:r>
      <w:proofErr w:type="gramStart"/>
      <w:r w:rsidRPr="00AD0F7B">
        <w:rPr>
          <w:rFonts w:ascii="Arial" w:eastAsia="Times New Roman" w:hAnsi="Arial" w:cs="Arial"/>
          <w:color w:val="000000"/>
          <w:sz w:val="20"/>
          <w:szCs w:val="20"/>
        </w:rPr>
        <w:t>thu</w:t>
      </w:r>
      <w:proofErr w:type="gramEnd"/>
      <w:r w:rsidRPr="00AD0F7B">
        <w:rPr>
          <w:rFonts w:ascii="Arial" w:eastAsia="Times New Roman" w:hAnsi="Arial" w:cs="Arial"/>
          <w:color w:val="000000"/>
          <w:sz w:val="20"/>
          <w:szCs w:val="20"/>
        </w:rPr>
        <w:t xml:space="preserve"> ngân sách nhà nước.</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Trong quá trình thực hiện, nếu có những vấn đề còn vướng mắc hoặc chưa được hướng dẫn tại Thông tư này, đề nghị các cơ quan, đơn vị có liên quan phản ánh về Bộ Tài chính để nghiên cứu, hướng dẫn bổ sung và sửa đổi kịp thời./.</w:t>
      </w:r>
    </w:p>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t> </w:t>
      </w:r>
    </w:p>
    <w:tbl>
      <w:tblPr>
        <w:tblW w:w="7140" w:type="dxa"/>
        <w:tblCellSpacing w:w="0" w:type="dxa"/>
        <w:shd w:val="clear" w:color="auto" w:fill="FFFFFF"/>
        <w:tblCellMar>
          <w:left w:w="0" w:type="dxa"/>
          <w:right w:w="0" w:type="dxa"/>
        </w:tblCellMar>
        <w:tblLook w:val="04A0" w:firstRow="1" w:lastRow="0" w:firstColumn="1" w:lastColumn="0" w:noHBand="0" w:noVBand="1"/>
      </w:tblPr>
      <w:tblGrid>
        <w:gridCol w:w="3636"/>
        <w:gridCol w:w="3504"/>
      </w:tblGrid>
      <w:tr w:rsidR="00AD0F7B" w:rsidRPr="00AD0F7B" w:rsidTr="00AD0F7B">
        <w:trPr>
          <w:tblCellSpacing w:w="0" w:type="dxa"/>
        </w:trPr>
        <w:tc>
          <w:tcPr>
            <w:tcW w:w="4608" w:type="dxa"/>
            <w:shd w:val="clear" w:color="auto" w:fill="FFFFFF"/>
            <w:tcMar>
              <w:top w:w="0" w:type="dxa"/>
              <w:left w:w="108" w:type="dxa"/>
              <w:bottom w:w="0" w:type="dxa"/>
              <w:right w:w="108" w:type="dxa"/>
            </w:tcMar>
            <w:hideMark/>
          </w:tcPr>
          <w:p w:rsidR="00AD0F7B" w:rsidRPr="00AD0F7B" w:rsidRDefault="00AD0F7B" w:rsidP="00AD0F7B">
            <w:pPr>
              <w:spacing w:before="120" w:after="120" w:line="234" w:lineRule="atLeast"/>
              <w:rPr>
                <w:rFonts w:ascii="Arial" w:eastAsia="Times New Roman" w:hAnsi="Arial" w:cs="Arial"/>
                <w:color w:val="000000"/>
                <w:sz w:val="18"/>
                <w:szCs w:val="18"/>
              </w:rPr>
            </w:pPr>
            <w:r w:rsidRPr="00AD0F7B">
              <w:rPr>
                <w:rFonts w:ascii="Arial" w:eastAsia="Times New Roman" w:hAnsi="Arial" w:cs="Arial"/>
                <w:color w:val="000000"/>
                <w:sz w:val="16"/>
                <w:szCs w:val="16"/>
              </w:rPr>
              <w:t> </w:t>
            </w:r>
          </w:p>
          <w:p w:rsidR="00AD0F7B" w:rsidRPr="00AD0F7B" w:rsidRDefault="00AD0F7B" w:rsidP="00AD0F7B">
            <w:pPr>
              <w:spacing w:before="120" w:after="120" w:line="234" w:lineRule="atLeast"/>
              <w:rPr>
                <w:rFonts w:ascii="Arial" w:eastAsia="Times New Roman" w:hAnsi="Arial" w:cs="Arial"/>
                <w:color w:val="000000"/>
                <w:sz w:val="18"/>
                <w:szCs w:val="18"/>
              </w:rPr>
            </w:pPr>
            <w:r w:rsidRPr="00AD0F7B">
              <w:rPr>
                <w:rFonts w:ascii="Arial" w:eastAsia="Times New Roman" w:hAnsi="Arial" w:cs="Arial"/>
                <w:b/>
                <w:bCs/>
                <w:i/>
                <w:iCs/>
                <w:color w:val="000000"/>
                <w:sz w:val="20"/>
                <w:szCs w:val="20"/>
              </w:rPr>
              <w:t>Nơi nhận:</w:t>
            </w:r>
            <w:r w:rsidRPr="00AD0F7B">
              <w:rPr>
                <w:rFonts w:ascii="Arial" w:eastAsia="Times New Roman" w:hAnsi="Arial" w:cs="Arial"/>
                <w:b/>
                <w:bCs/>
                <w:i/>
                <w:iCs/>
                <w:color w:val="000000"/>
                <w:sz w:val="20"/>
                <w:szCs w:val="20"/>
              </w:rPr>
              <w:br/>
            </w:r>
            <w:r w:rsidRPr="00AD0F7B">
              <w:rPr>
                <w:rFonts w:ascii="Arial" w:eastAsia="Times New Roman" w:hAnsi="Arial" w:cs="Arial"/>
                <w:color w:val="000000"/>
                <w:sz w:val="16"/>
                <w:szCs w:val="16"/>
              </w:rPr>
              <w:t>- VPCP;</w:t>
            </w:r>
            <w:r w:rsidRPr="00AD0F7B">
              <w:rPr>
                <w:rFonts w:ascii="Arial" w:eastAsia="Times New Roman" w:hAnsi="Arial" w:cs="Arial"/>
                <w:color w:val="000000"/>
                <w:sz w:val="16"/>
                <w:szCs w:val="16"/>
              </w:rPr>
              <w:br/>
              <w:t>- VPTW Đảng;</w:t>
            </w:r>
            <w:r w:rsidRPr="00AD0F7B">
              <w:rPr>
                <w:rFonts w:ascii="Arial" w:eastAsia="Times New Roman" w:hAnsi="Arial" w:cs="Arial"/>
                <w:color w:val="000000"/>
                <w:sz w:val="16"/>
                <w:szCs w:val="16"/>
              </w:rPr>
              <w:br/>
              <w:t>- VP Chủ tịch nước;</w:t>
            </w:r>
            <w:r w:rsidRPr="00AD0F7B">
              <w:rPr>
                <w:rFonts w:ascii="Arial" w:eastAsia="Times New Roman" w:hAnsi="Arial" w:cs="Arial"/>
                <w:color w:val="000000"/>
                <w:sz w:val="16"/>
                <w:szCs w:val="16"/>
              </w:rPr>
              <w:br/>
              <w:t>- VP Quốc hội;</w:t>
            </w:r>
            <w:r w:rsidRPr="00AD0F7B">
              <w:rPr>
                <w:rFonts w:ascii="Arial" w:eastAsia="Times New Roman" w:hAnsi="Arial" w:cs="Arial"/>
                <w:color w:val="000000"/>
                <w:sz w:val="16"/>
                <w:szCs w:val="16"/>
              </w:rPr>
              <w:br/>
              <w:t>- Các Bộ, CQ ngang Bộ,CQ thuộc CP;</w:t>
            </w:r>
            <w:r w:rsidRPr="00AD0F7B">
              <w:rPr>
                <w:rFonts w:ascii="Arial" w:eastAsia="Times New Roman" w:hAnsi="Arial" w:cs="Arial"/>
                <w:color w:val="000000"/>
                <w:sz w:val="16"/>
                <w:szCs w:val="16"/>
              </w:rPr>
              <w:br/>
            </w:r>
            <w:r w:rsidRPr="00AD0F7B">
              <w:rPr>
                <w:rFonts w:ascii="Arial" w:eastAsia="Times New Roman" w:hAnsi="Arial" w:cs="Arial"/>
                <w:color w:val="000000"/>
                <w:sz w:val="16"/>
                <w:szCs w:val="16"/>
              </w:rPr>
              <w:lastRenderedPageBreak/>
              <w:t>- UBND tỉnh, TP trực thuộc TW;</w:t>
            </w:r>
            <w:r w:rsidRPr="00AD0F7B">
              <w:rPr>
                <w:rFonts w:ascii="Arial" w:eastAsia="Times New Roman" w:hAnsi="Arial" w:cs="Arial"/>
                <w:color w:val="000000"/>
                <w:sz w:val="16"/>
                <w:szCs w:val="16"/>
              </w:rPr>
              <w:br/>
              <w:t>- Cơ quan TW các tổ chức, đoàn thể;</w:t>
            </w:r>
            <w:r w:rsidRPr="00AD0F7B">
              <w:rPr>
                <w:rFonts w:ascii="Arial" w:eastAsia="Times New Roman" w:hAnsi="Arial" w:cs="Arial"/>
                <w:color w:val="000000"/>
                <w:sz w:val="16"/>
                <w:szCs w:val="16"/>
              </w:rPr>
              <w:br/>
              <w:t>- TAND tối cao;</w:t>
            </w:r>
            <w:r w:rsidRPr="00AD0F7B">
              <w:rPr>
                <w:rFonts w:ascii="Arial" w:eastAsia="Times New Roman" w:hAnsi="Arial" w:cs="Arial"/>
                <w:color w:val="000000"/>
                <w:sz w:val="16"/>
                <w:szCs w:val="16"/>
              </w:rPr>
              <w:br/>
              <w:t>- VKSND tối cao;</w:t>
            </w:r>
            <w:r w:rsidRPr="00AD0F7B">
              <w:rPr>
                <w:rFonts w:ascii="Arial" w:eastAsia="Times New Roman" w:hAnsi="Arial" w:cs="Arial"/>
                <w:color w:val="000000"/>
                <w:sz w:val="16"/>
                <w:szCs w:val="16"/>
              </w:rPr>
              <w:br/>
              <w:t>- Kiểm toán NN;</w:t>
            </w:r>
            <w:r w:rsidRPr="00AD0F7B">
              <w:rPr>
                <w:rFonts w:ascii="Arial" w:eastAsia="Times New Roman" w:hAnsi="Arial" w:cs="Arial"/>
                <w:color w:val="000000"/>
                <w:sz w:val="16"/>
                <w:szCs w:val="16"/>
              </w:rPr>
              <w:br/>
              <w:t>- Sở Tài chính, KBNN tỉnh TP;</w:t>
            </w:r>
            <w:r w:rsidRPr="00AD0F7B">
              <w:rPr>
                <w:rFonts w:ascii="Arial" w:eastAsia="Times New Roman" w:hAnsi="Arial" w:cs="Arial"/>
                <w:color w:val="000000"/>
                <w:sz w:val="16"/>
                <w:szCs w:val="16"/>
              </w:rPr>
              <w:br/>
              <w:t>- Cục Kiểm tra văn bản (Bộ Tư pháp);</w:t>
            </w:r>
            <w:r w:rsidRPr="00AD0F7B">
              <w:rPr>
                <w:rFonts w:ascii="Arial" w:eastAsia="Times New Roman" w:hAnsi="Arial" w:cs="Arial"/>
                <w:color w:val="000000"/>
                <w:sz w:val="16"/>
                <w:szCs w:val="16"/>
              </w:rPr>
              <w:br/>
              <w:t>- VP Ban chỉ đạo TW về phòng, chống tham nhũng;</w:t>
            </w:r>
            <w:r w:rsidRPr="00AD0F7B">
              <w:rPr>
                <w:rFonts w:ascii="Arial" w:eastAsia="Times New Roman" w:hAnsi="Arial" w:cs="Arial"/>
                <w:color w:val="000000"/>
                <w:sz w:val="16"/>
                <w:szCs w:val="16"/>
              </w:rPr>
              <w:br/>
              <w:t>- Công báo;</w:t>
            </w:r>
            <w:r w:rsidRPr="00AD0F7B">
              <w:rPr>
                <w:rFonts w:ascii="Arial" w:eastAsia="Times New Roman" w:hAnsi="Arial" w:cs="Arial"/>
                <w:color w:val="000000"/>
                <w:sz w:val="16"/>
                <w:szCs w:val="16"/>
              </w:rPr>
              <w:br/>
              <w:t>- Website Chính phủ;</w:t>
            </w:r>
            <w:r w:rsidRPr="00AD0F7B">
              <w:rPr>
                <w:rFonts w:ascii="Arial" w:eastAsia="Times New Roman" w:hAnsi="Arial" w:cs="Arial"/>
                <w:color w:val="000000"/>
                <w:sz w:val="16"/>
                <w:szCs w:val="16"/>
              </w:rPr>
              <w:br/>
              <w:t>- Các đơn vị thuộc Bộ Tài chính;</w:t>
            </w:r>
            <w:r w:rsidRPr="00AD0F7B">
              <w:rPr>
                <w:rFonts w:ascii="Arial" w:eastAsia="Times New Roman" w:hAnsi="Arial" w:cs="Arial"/>
                <w:color w:val="000000"/>
                <w:sz w:val="16"/>
                <w:szCs w:val="16"/>
              </w:rPr>
              <w:br/>
              <w:t>- Website Bộ Tài chính;</w:t>
            </w:r>
            <w:r w:rsidRPr="00AD0F7B">
              <w:rPr>
                <w:rFonts w:ascii="Arial" w:eastAsia="Times New Roman" w:hAnsi="Arial" w:cs="Arial"/>
                <w:color w:val="000000"/>
                <w:sz w:val="16"/>
                <w:szCs w:val="16"/>
              </w:rPr>
              <w:br/>
              <w:t>- Lưu: VT, QLN.</w:t>
            </w:r>
          </w:p>
        </w:tc>
        <w:tc>
          <w:tcPr>
            <w:tcW w:w="4320" w:type="dxa"/>
            <w:shd w:val="clear" w:color="auto" w:fill="FFFFFF"/>
            <w:tcMar>
              <w:top w:w="0" w:type="dxa"/>
              <w:left w:w="108" w:type="dxa"/>
              <w:bottom w:w="0" w:type="dxa"/>
              <w:right w:w="108" w:type="dxa"/>
            </w:tcMar>
            <w:hideMark/>
          </w:tcPr>
          <w:p w:rsidR="00AD0F7B" w:rsidRPr="00AD0F7B" w:rsidRDefault="00AD0F7B" w:rsidP="00AD0F7B">
            <w:pPr>
              <w:spacing w:before="120" w:after="120" w:line="234" w:lineRule="atLeast"/>
              <w:jc w:val="center"/>
              <w:rPr>
                <w:rFonts w:ascii="Arial" w:eastAsia="Times New Roman" w:hAnsi="Arial" w:cs="Arial"/>
                <w:color w:val="000000"/>
                <w:sz w:val="18"/>
                <w:szCs w:val="18"/>
              </w:rPr>
            </w:pPr>
            <w:r w:rsidRPr="00AD0F7B">
              <w:rPr>
                <w:rFonts w:ascii="Arial" w:eastAsia="Times New Roman" w:hAnsi="Arial" w:cs="Arial"/>
                <w:b/>
                <w:bCs/>
                <w:color w:val="000000"/>
                <w:sz w:val="20"/>
                <w:szCs w:val="20"/>
              </w:rPr>
              <w:lastRenderedPageBreak/>
              <w:t>KT. BỘ TRƯỞNG</w:t>
            </w:r>
            <w:r w:rsidRPr="00AD0F7B">
              <w:rPr>
                <w:rFonts w:ascii="Arial" w:eastAsia="Times New Roman" w:hAnsi="Arial" w:cs="Arial"/>
                <w:b/>
                <w:bCs/>
                <w:color w:val="000000"/>
                <w:sz w:val="20"/>
                <w:szCs w:val="20"/>
              </w:rPr>
              <w:br/>
              <w:t>THỨ TRƯỞNG</w:t>
            </w:r>
            <w:r w:rsidRPr="00AD0F7B">
              <w:rPr>
                <w:rFonts w:ascii="Arial" w:eastAsia="Times New Roman" w:hAnsi="Arial" w:cs="Arial"/>
                <w:b/>
                <w:bCs/>
                <w:color w:val="000000"/>
                <w:sz w:val="20"/>
                <w:szCs w:val="20"/>
              </w:rPr>
              <w:br/>
            </w:r>
            <w:r w:rsidRPr="00AD0F7B">
              <w:rPr>
                <w:rFonts w:ascii="Arial" w:eastAsia="Times New Roman" w:hAnsi="Arial" w:cs="Arial"/>
                <w:b/>
                <w:bCs/>
                <w:color w:val="000000"/>
                <w:sz w:val="20"/>
                <w:szCs w:val="20"/>
              </w:rPr>
              <w:br/>
            </w:r>
            <w:r w:rsidRPr="00AD0F7B">
              <w:rPr>
                <w:rFonts w:ascii="Arial" w:eastAsia="Times New Roman" w:hAnsi="Arial" w:cs="Arial"/>
                <w:b/>
                <w:bCs/>
                <w:color w:val="000000"/>
                <w:sz w:val="20"/>
                <w:szCs w:val="20"/>
              </w:rPr>
              <w:br/>
            </w:r>
            <w:r w:rsidRPr="00AD0F7B">
              <w:rPr>
                <w:rFonts w:ascii="Arial" w:eastAsia="Times New Roman" w:hAnsi="Arial" w:cs="Arial"/>
                <w:b/>
                <w:bCs/>
                <w:color w:val="000000"/>
                <w:sz w:val="20"/>
                <w:szCs w:val="20"/>
              </w:rPr>
              <w:br/>
            </w:r>
            <w:r w:rsidRPr="00AD0F7B">
              <w:rPr>
                <w:rFonts w:ascii="Arial" w:eastAsia="Times New Roman" w:hAnsi="Arial" w:cs="Arial"/>
                <w:b/>
                <w:bCs/>
                <w:color w:val="000000"/>
                <w:sz w:val="20"/>
                <w:szCs w:val="20"/>
              </w:rPr>
              <w:br/>
              <w:t>Trần Xuân Hà</w:t>
            </w:r>
          </w:p>
        </w:tc>
      </w:tr>
    </w:tbl>
    <w:p w:rsidR="00AD0F7B" w:rsidRPr="00AD0F7B" w:rsidRDefault="00AD0F7B" w:rsidP="00AD0F7B">
      <w:pPr>
        <w:shd w:val="clear" w:color="auto" w:fill="FFFFFF"/>
        <w:spacing w:before="120" w:after="120" w:line="234" w:lineRule="atLeast"/>
        <w:jc w:val="both"/>
        <w:rPr>
          <w:rFonts w:ascii="Arial" w:eastAsia="Times New Roman" w:hAnsi="Arial" w:cs="Arial"/>
          <w:color w:val="000000"/>
          <w:sz w:val="18"/>
          <w:szCs w:val="18"/>
        </w:rPr>
      </w:pPr>
      <w:r w:rsidRPr="00AD0F7B">
        <w:rPr>
          <w:rFonts w:ascii="Arial" w:eastAsia="Times New Roman" w:hAnsi="Arial" w:cs="Arial"/>
          <w:color w:val="000000"/>
          <w:sz w:val="20"/>
          <w:szCs w:val="20"/>
        </w:rPr>
        <w:lastRenderedPageBreak/>
        <w:t> </w:t>
      </w:r>
    </w:p>
    <w:p w:rsidR="005943F7" w:rsidRDefault="005943F7">
      <w:bookmarkStart w:id="28" w:name="_GoBack"/>
      <w:bookmarkEnd w:id="28"/>
    </w:p>
    <w:sectPr w:rsidR="0059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7B"/>
    <w:rsid w:val="005943F7"/>
    <w:rsid w:val="00AD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8-2008-nd-cp-chuc-nang-nhiem-vu-quyen-han-co-cau-to-chuc-cua-bo-tai-chinh-81982.aspx" TargetMode="External"/><Relationship Id="rId13" Type="http://schemas.openxmlformats.org/officeDocument/2006/relationships/hyperlink" Target="https://thuvienphapluat.vn/van-ban/tai-chinh-nha-nuoc/nghi-dinh-93-2009-nd-cp-quy-che-quan-ly-su-dung-vien-tro-phi-chinh-phu-nuoc-ngoai-96532.aspx" TargetMode="External"/><Relationship Id="rId18" Type="http://schemas.openxmlformats.org/officeDocument/2006/relationships/hyperlink" Target="https://thuvienphapluat.vn/van-ban/tai-chinh-nha-nuoc/thong-tu-33-2007-tt-btc-huong-dan-quyet-toan-du-an-hoan-thanh-thuoc-nguon-von-nha-nuoc-18025.aspx" TargetMode="External"/><Relationship Id="rId26" Type="http://schemas.openxmlformats.org/officeDocument/2006/relationships/hyperlink" Target="https://thuvienphapluat.vn/van-ban/ke-toan-kiem-toan/thong-tu-98-2007-tt-btc-huong-dan-quyet-toan-du-an-hoan-thanh-thuoc-nguon-von-nha-nuoc-sua-doi-33-2007-tt-btc-54217.aspx" TargetMode="External"/><Relationship Id="rId3" Type="http://schemas.openxmlformats.org/officeDocument/2006/relationships/settings" Target="settings.xml"/><Relationship Id="rId21" Type="http://schemas.openxmlformats.org/officeDocument/2006/relationships/hyperlink" Target="https://thuvienphapluat.vn/van-ban/tai-chinh-nha-nuoc/thong-tu-108-2008-tt-btc-huong-dan-xu-ly-ngan-sach-cuoi-nam-lap-bao-cao-quyet-toan-ngan-sach-nha-nuoc-hang-nam-81914.aspx" TargetMode="External"/><Relationship Id="rId34" Type="http://schemas.openxmlformats.org/officeDocument/2006/relationships/fontTable" Target="fontTable.xml"/><Relationship Id="rId7" Type="http://schemas.openxmlformats.org/officeDocument/2006/relationships/hyperlink" Target="https://thuvienphapluat.vn/van-ban/tai-chinh-nha-nuoc/nghi-dinh-93-2009-nd-cp-quy-che-quan-ly-su-dung-vien-tro-phi-chinh-phu-nuoc-ngoai-96532.aspx" TargetMode="External"/><Relationship Id="rId12" Type="http://schemas.openxmlformats.org/officeDocument/2006/relationships/hyperlink" Target="https://thuvienphapluat.vn/van-ban/tai-chinh-nha-nuoc/nghi-dinh-131-2006-nd-cp-quy-che-quan-ly-su-dung-nguon-ho-tro-phat-trien-chinh-thuc-15474.aspx" TargetMode="External"/><Relationship Id="rId17" Type="http://schemas.openxmlformats.org/officeDocument/2006/relationships/hyperlink" Target="https://thuvienphapluat.vn/van-ban/dau-tu/nghi-dinh-80-2010-nd-cp-hinh-thuc-noi-dung-tham-quyen-trinh-tu-108819.aspx" TargetMode="External"/><Relationship Id="rId25" Type="http://schemas.openxmlformats.org/officeDocument/2006/relationships/hyperlink" Target="https://thuvienphapluat.vn/van-ban/tai-chinh-nha-nuoc/thong-tu-33-2007-tt-btc-huong-dan-quyet-toan-du-an-hoan-thanh-thuoc-nguon-von-nha-nuoc-18025.aspx" TargetMode="External"/><Relationship Id="rId33" Type="http://schemas.openxmlformats.org/officeDocument/2006/relationships/hyperlink" Target="https://thuvienphapluat.vn/van-ban/tai-chinh-nha-nuoc/thong-tu-82-2007-tt-btc-huong-dan-che-do-quan-ly-tai-chinh-nha-nuoc-vien-tro-khong-hoan-lai-nuoc-ngoai-thuoc-nguon-thu-nsnn-53438.aspx" TargetMode="External"/><Relationship Id="rId2" Type="http://schemas.microsoft.com/office/2007/relationships/stylesWithEffects" Target="stylesWithEffects.xml"/><Relationship Id="rId16" Type="http://schemas.openxmlformats.org/officeDocument/2006/relationships/hyperlink" Target="https://thuvienphapluat.vn/van-ban/tai-chinh-nha-nuoc/nghi-dinh-93-2009-nd-cp-quy-che-quan-ly-su-dung-vien-tro-phi-chinh-phu-nuoc-ngoai-96532.aspx" TargetMode="External"/><Relationship Id="rId20" Type="http://schemas.openxmlformats.org/officeDocument/2006/relationships/hyperlink" Target="https://thuvienphapluat.vn/van-ban/tai-chinh-nha-nuoc/thong-tu-33-2007-tt-btc-huong-dan-quyet-toan-du-an-hoan-thanh-thuoc-nguon-von-nha-nuoc-18025.aspx" TargetMode="External"/><Relationship Id="rId29" Type="http://schemas.openxmlformats.org/officeDocument/2006/relationships/hyperlink" Target="https://thuvienphapluat.vn/van-ban/bo-may-hanh-chinh/nghi-dinh-137-2006-nd-cp-phan-cap-quan-ly-nha-nuoc-doi-voi-tai-san-tai-co-quan-hanh-chinh-don-vi-su-nghiep-cong-lap-tai-san-xac-lap-quyen-so-huu-15448.aspx" TargetMode="External"/><Relationship Id="rId1" Type="http://schemas.openxmlformats.org/officeDocument/2006/relationships/styles" Target="styles.xml"/><Relationship Id="rId6" Type="http://schemas.openxmlformats.org/officeDocument/2006/relationships/hyperlink" Target="https://thuvienphapluat.vn/van-ban/tai-chinh-nha-nuoc/nghi-dinh-131-2006-nd-cp-quy-che-quan-ly-su-dung-nguon-ho-tro-phat-trien-chinh-thuc-15474.aspx" TargetMode="External"/><Relationship Id="rId11" Type="http://schemas.openxmlformats.org/officeDocument/2006/relationships/hyperlink" Target="https://thuvienphapluat.vn/van-ban/linh-vuc-khac/thong-tu-109-2007-tt-btc-huong-dan-che-do-quan-ly-tai-chinh-nha-nuoc-vien-tro-phi-chinh-phu-nuoc-ngoai-khong-thuoc-nguon-thu-nsnn-55341.aspx" TargetMode="External"/><Relationship Id="rId24" Type="http://schemas.openxmlformats.org/officeDocument/2006/relationships/hyperlink" Target="https://thuvienphapluat.vn/van-ban/tai-chinh-nha-nuoc/thong-tu-53-2005-tt-btc-huong-dan-lap-tham-dinh-bao-cao-quyet-toan-von-dau-tu-xdcb-thuoc-von-nsnn-nien-do-ngan-sach-hang-nam-2609.aspx" TargetMode="External"/><Relationship Id="rId32" Type="http://schemas.openxmlformats.org/officeDocument/2006/relationships/hyperlink" Target="https://thuvienphapluat.vn/van-ban/tai-chinh-nha-nuoc/thong-tu-87-2010-tt-btc-quan-ly-xu-ly-tai-san-cac-du-an-su-107977.aspx" TargetMode="External"/><Relationship Id="rId5" Type="http://schemas.openxmlformats.org/officeDocument/2006/relationships/hyperlink" Target="https://thuvienphapluat.vn/van-ban/tai-chinh-nha-nuoc/nghi-dinh-60-2003-nd-cp-quy-dinh-chi-tiet-huong-dan-thi-hanh-luat-ngan-sach-nha-nuoc-51008.aspx" TargetMode="External"/><Relationship Id="rId15" Type="http://schemas.openxmlformats.org/officeDocument/2006/relationships/hyperlink" Target="https://thuvienphapluat.vn/van-ban/tai-chinh-nha-nuoc/nghi-dinh-131-2006-nd-cp-quy-che-quan-ly-su-dung-nguon-ho-tro-phat-trien-chinh-thuc-15474.aspx" TargetMode="External"/><Relationship Id="rId23" Type="http://schemas.openxmlformats.org/officeDocument/2006/relationships/hyperlink" Target="https://thuvienphapluat.vn/van-ban/tai-chinh-nha-nuoc/thong-tu-219-2009-tt-btc-dinh-muc-chi-tieu-ap-dung-cho-cac-du-an-chuong-trinh-su-dung-nguon-von-ho-tro-phat-trien-chinh-thuc-oda-98172.aspx" TargetMode="External"/><Relationship Id="rId28" Type="http://schemas.openxmlformats.org/officeDocument/2006/relationships/hyperlink" Target="https://thuvienphapluat.vn/van-ban/ke-toan-kiem-toan/quyet-dinh-19-2006-qd-btc-che-do-ke-toan-hanh-chinh-su-nghiep-11141.aspx" TargetMode="External"/><Relationship Id="rId10" Type="http://schemas.openxmlformats.org/officeDocument/2006/relationships/hyperlink" Target="https://thuvienphapluat.vn/van-ban/tai-chinh-nha-nuoc/nghi-dinh-93-2009-nd-cp-quy-che-quan-ly-su-dung-vien-tro-phi-chinh-phu-nuoc-ngoai-96532.aspx" TargetMode="External"/><Relationship Id="rId19" Type="http://schemas.openxmlformats.org/officeDocument/2006/relationships/hyperlink" Target="https://thuvienphapluat.vn/van-ban/ke-toan-kiem-toan/thong-tu-98-2007-tt-btc-huong-dan-quyet-toan-du-an-hoan-thanh-thuoc-nguon-von-nha-nuoc-sua-doi-33-2007-tt-btc-54217.aspx" TargetMode="External"/><Relationship Id="rId31" Type="http://schemas.openxmlformats.org/officeDocument/2006/relationships/hyperlink" Target="https://thuvienphapluat.vn/van-ban/tai-chinh-nha-nuoc/thong-tu-87-2010-tt-btc-quan-ly-xu-ly-tai-san-cac-du-an-su-107977.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nghi-dinh-131-2006-nd-cp-quy-che-quan-ly-su-dung-nguon-ho-tro-phat-trien-chinh-thuc-15474.aspx" TargetMode="External"/><Relationship Id="rId14" Type="http://schemas.openxmlformats.org/officeDocument/2006/relationships/hyperlink" Target="https://thuvienphapluat.vn/van-ban/dau-tu/thong-tu-108-2007-tt-btc-huong-dan-co-che-quan-ly-tai-chinh-chuong-trinh-du-an-ho-tro-phat-trien-chinh-thuc-oda-55307.aspx" TargetMode="External"/><Relationship Id="rId22" Type="http://schemas.openxmlformats.org/officeDocument/2006/relationships/hyperlink" Target="https://thuvienphapluat.vn/van-ban/tai-chinh-nha-nuoc/thong-tu-219-2009-tt-btc-dinh-muc-chi-tieu-ap-dung-cho-cac-du-an-chuong-trinh-su-dung-nguon-von-ho-tro-phat-trien-chinh-thuc-oda-98172.aspx" TargetMode="External"/><Relationship Id="rId27" Type="http://schemas.openxmlformats.org/officeDocument/2006/relationships/hyperlink" Target="https://thuvienphapluat.vn/van-ban/tai-chinh-nha-nuoc/thong-tu-33-2007-tt-btc-huong-dan-quyet-toan-du-an-hoan-thanh-thuoc-nguon-von-nha-nuoc-18025.aspx" TargetMode="External"/><Relationship Id="rId30" Type="http://schemas.openxmlformats.org/officeDocument/2006/relationships/hyperlink" Target="https://thuvienphapluat.vn/van-ban/tai-chinh-nha-nuoc/chi-thi-17-2007-ct-ttg-tang-cuong-quan-ly-tai-san-ban-quan-ly-du-an-su-dung-von-nha-nuoc-53711.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10651</Words>
  <Characters>60715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2020-07-06T02:13:00Z</dcterms:created>
  <dcterms:modified xsi:type="dcterms:W3CDTF">2020-07-06T02:14:00Z</dcterms:modified>
</cp:coreProperties>
</file>